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1956" w14:textId="77777777" w:rsidR="005F19CB" w:rsidRPr="006C4A45" w:rsidRDefault="005F19CB" w:rsidP="005F19CB">
      <w:pPr>
        <w:widowControl w:val="0"/>
        <w:spacing w:after="0" w:line="240" w:lineRule="auto"/>
        <w:ind w:left="5387"/>
        <w:rPr>
          <w:rFonts w:ascii="Times New Roman" w:eastAsia="Times New Roman" w:hAnsi="Times New Roman"/>
          <w:b/>
          <w:snapToGrid w:val="0"/>
          <w:sz w:val="24"/>
          <w:szCs w:val="24"/>
          <w:lang w:eastAsia="ru-RU"/>
        </w:rPr>
      </w:pPr>
      <w:r w:rsidRPr="006C4A45">
        <w:rPr>
          <w:rFonts w:ascii="Times New Roman" w:eastAsia="Times New Roman" w:hAnsi="Times New Roman"/>
          <w:b/>
          <w:snapToGrid w:val="0"/>
          <w:sz w:val="24"/>
          <w:szCs w:val="24"/>
          <w:lang w:eastAsia="ru-RU"/>
        </w:rPr>
        <w:t>УТВЕРЖДЕНА</w:t>
      </w:r>
    </w:p>
    <w:p w14:paraId="595DE410" w14:textId="77777777" w:rsidR="005F19CB" w:rsidRPr="006C4A45" w:rsidRDefault="005F19CB" w:rsidP="005F19CB">
      <w:pPr>
        <w:autoSpaceDE w:val="0"/>
        <w:autoSpaceDN w:val="0"/>
        <w:spacing w:after="0" w:line="240" w:lineRule="auto"/>
        <w:ind w:left="5387"/>
        <w:rPr>
          <w:rFonts w:ascii="Times New Roman" w:eastAsia="Times New Roman" w:hAnsi="Times New Roman"/>
          <w:sz w:val="24"/>
          <w:szCs w:val="24"/>
          <w:lang w:eastAsia="ru-RU"/>
        </w:rPr>
      </w:pPr>
      <w:r w:rsidRPr="006C4A45">
        <w:rPr>
          <w:rFonts w:ascii="Times New Roman" w:eastAsia="Times New Roman" w:hAnsi="Times New Roman"/>
          <w:sz w:val="24"/>
          <w:szCs w:val="24"/>
          <w:lang w:eastAsia="ru-RU"/>
        </w:rPr>
        <w:t xml:space="preserve">Приказом Председателя </w:t>
      </w:r>
    </w:p>
    <w:p w14:paraId="02032244" w14:textId="77777777" w:rsidR="005F19CB" w:rsidRPr="006C4A45" w:rsidRDefault="005F19CB" w:rsidP="005F19CB">
      <w:pPr>
        <w:autoSpaceDE w:val="0"/>
        <w:autoSpaceDN w:val="0"/>
        <w:spacing w:after="0" w:line="240" w:lineRule="auto"/>
        <w:ind w:left="5387"/>
        <w:rPr>
          <w:rFonts w:ascii="Times New Roman" w:eastAsia="Times New Roman" w:hAnsi="Times New Roman"/>
          <w:sz w:val="24"/>
          <w:szCs w:val="24"/>
          <w:lang w:eastAsia="ru-RU"/>
        </w:rPr>
      </w:pPr>
      <w:r w:rsidRPr="006C4A45">
        <w:rPr>
          <w:rFonts w:ascii="Times New Roman" w:eastAsia="Times New Roman" w:hAnsi="Times New Roman"/>
          <w:sz w:val="24"/>
          <w:szCs w:val="24"/>
          <w:lang w:eastAsia="ru-RU"/>
        </w:rPr>
        <w:t>РГУ «Комитет медицинского и фармацевтического контроля»</w:t>
      </w:r>
    </w:p>
    <w:p w14:paraId="4D46461F" w14:textId="77777777" w:rsidR="005F19CB" w:rsidRPr="006C4A45" w:rsidRDefault="005F19CB" w:rsidP="005F19CB">
      <w:pPr>
        <w:keepNext/>
        <w:autoSpaceDE w:val="0"/>
        <w:autoSpaceDN w:val="0"/>
        <w:spacing w:after="0" w:line="240" w:lineRule="auto"/>
        <w:ind w:left="5387"/>
        <w:outlineLvl w:val="2"/>
        <w:rPr>
          <w:rFonts w:ascii="Times New Roman" w:eastAsia="Times New Roman" w:hAnsi="Times New Roman"/>
          <w:bCs/>
          <w:sz w:val="24"/>
          <w:szCs w:val="24"/>
          <w:lang w:val="uk-UA" w:eastAsia="ru-RU"/>
        </w:rPr>
      </w:pPr>
      <w:r w:rsidRPr="006C4A45">
        <w:rPr>
          <w:rFonts w:ascii="Times New Roman" w:eastAsia="Times New Roman" w:hAnsi="Times New Roman"/>
          <w:bCs/>
          <w:sz w:val="24"/>
          <w:szCs w:val="24"/>
          <w:lang w:eastAsia="ru-RU"/>
        </w:rPr>
        <w:t>Министерства здравоохранения</w:t>
      </w:r>
      <w:r w:rsidRPr="006C4A45">
        <w:rPr>
          <w:rFonts w:ascii="Times New Roman" w:eastAsia="Times New Roman" w:hAnsi="Times New Roman"/>
          <w:bCs/>
          <w:sz w:val="24"/>
          <w:szCs w:val="24"/>
          <w:lang w:val="uk-UA" w:eastAsia="ru-RU"/>
        </w:rPr>
        <w:t xml:space="preserve"> </w:t>
      </w:r>
    </w:p>
    <w:p w14:paraId="1BFCEEAE" w14:textId="77777777" w:rsidR="005F19CB" w:rsidRPr="006C4A45" w:rsidRDefault="005F19CB" w:rsidP="005F19CB">
      <w:pPr>
        <w:keepNext/>
        <w:autoSpaceDE w:val="0"/>
        <w:autoSpaceDN w:val="0"/>
        <w:spacing w:after="0" w:line="240" w:lineRule="auto"/>
        <w:ind w:left="5387"/>
        <w:outlineLvl w:val="3"/>
        <w:rPr>
          <w:rFonts w:ascii="Times New Roman" w:eastAsia="Times New Roman" w:hAnsi="Times New Roman"/>
          <w:bCs/>
          <w:sz w:val="24"/>
          <w:szCs w:val="24"/>
          <w:lang w:eastAsia="ru-RU"/>
        </w:rPr>
      </w:pPr>
      <w:r w:rsidRPr="006C4A45">
        <w:rPr>
          <w:rFonts w:ascii="Times New Roman" w:eastAsia="Times New Roman" w:hAnsi="Times New Roman"/>
          <w:bCs/>
          <w:sz w:val="24"/>
          <w:szCs w:val="24"/>
          <w:lang w:eastAsia="ru-RU"/>
        </w:rPr>
        <w:t>Республики Казахстан</w:t>
      </w:r>
    </w:p>
    <w:p w14:paraId="53F3A232" w14:textId="77777777" w:rsidR="00DB674D" w:rsidRPr="00DB674D" w:rsidRDefault="00DB674D" w:rsidP="00DB674D">
      <w:pPr>
        <w:spacing w:after="0" w:line="240" w:lineRule="auto"/>
        <w:ind w:left="5387"/>
        <w:rPr>
          <w:rFonts w:ascii="Times New Roman" w:eastAsia="Times New Roman" w:hAnsi="Times New Roman"/>
          <w:sz w:val="24"/>
          <w:szCs w:val="24"/>
          <w:lang w:eastAsia="ru-RU"/>
        </w:rPr>
      </w:pPr>
      <w:r w:rsidRPr="00DB674D">
        <w:rPr>
          <w:rFonts w:ascii="Times New Roman" w:eastAsia="Times New Roman" w:hAnsi="Times New Roman"/>
          <w:sz w:val="24"/>
          <w:szCs w:val="24"/>
          <w:lang w:eastAsia="ru-RU"/>
        </w:rPr>
        <w:t>от «</w:t>
      </w:r>
      <w:proofErr w:type="gramStart"/>
      <w:r w:rsidRPr="00DB674D">
        <w:rPr>
          <w:rFonts w:ascii="Times New Roman" w:eastAsia="Times New Roman" w:hAnsi="Times New Roman"/>
          <w:sz w:val="24"/>
          <w:szCs w:val="24"/>
          <w:lang w:eastAsia="ru-RU"/>
        </w:rPr>
        <w:t xml:space="preserve">08»   </w:t>
      </w:r>
      <w:proofErr w:type="gramEnd"/>
      <w:r w:rsidRPr="00DB674D">
        <w:rPr>
          <w:rFonts w:ascii="Times New Roman" w:eastAsia="Times New Roman" w:hAnsi="Times New Roman"/>
          <w:sz w:val="24"/>
          <w:szCs w:val="24"/>
          <w:lang w:eastAsia="ru-RU"/>
        </w:rPr>
        <w:t>05    2025 г.</w:t>
      </w:r>
    </w:p>
    <w:p w14:paraId="34572D04" w14:textId="7DAAF2CA" w:rsidR="00354AE1" w:rsidRDefault="00DB674D" w:rsidP="00DB674D">
      <w:pPr>
        <w:spacing w:after="0" w:line="240" w:lineRule="auto"/>
        <w:ind w:left="5387"/>
        <w:rPr>
          <w:rFonts w:ascii="Times New Roman" w:eastAsia="Times New Roman" w:hAnsi="Times New Roman"/>
          <w:sz w:val="24"/>
          <w:szCs w:val="24"/>
          <w:lang w:eastAsia="ru-RU"/>
        </w:rPr>
      </w:pPr>
      <w:r w:rsidRPr="00DB674D">
        <w:rPr>
          <w:rFonts w:ascii="Times New Roman" w:eastAsia="Times New Roman" w:hAnsi="Times New Roman"/>
          <w:sz w:val="24"/>
          <w:szCs w:val="24"/>
          <w:lang w:eastAsia="ru-RU"/>
        </w:rPr>
        <w:t>№N085733</w:t>
      </w:r>
    </w:p>
    <w:p w14:paraId="2231326F" w14:textId="77777777" w:rsidR="00DB674D" w:rsidRPr="006C4A45" w:rsidRDefault="00DB674D" w:rsidP="00DB674D">
      <w:pPr>
        <w:spacing w:after="0" w:line="240" w:lineRule="auto"/>
        <w:ind w:left="5387"/>
        <w:rPr>
          <w:rFonts w:ascii="Times New Roman" w:eastAsia="Times New Roman" w:hAnsi="Times New Roman" w:cs="Times New Roman"/>
          <w:snapToGrid w:val="0"/>
          <w:sz w:val="24"/>
          <w:szCs w:val="28"/>
          <w:lang w:eastAsia="ru-RU"/>
        </w:rPr>
      </w:pPr>
    </w:p>
    <w:p w14:paraId="0F66B657" w14:textId="77777777" w:rsidR="006B4300" w:rsidRPr="006C4A45" w:rsidRDefault="00A75F5E" w:rsidP="00354AE1">
      <w:pPr>
        <w:spacing w:after="0" w:line="240" w:lineRule="auto"/>
        <w:jc w:val="center"/>
        <w:rPr>
          <w:rFonts w:ascii="Times New Roman" w:eastAsia="Times New Roman" w:hAnsi="Times New Roman" w:cs="Times New Roman"/>
          <w:b/>
          <w:bCs/>
          <w:sz w:val="24"/>
          <w:szCs w:val="24"/>
          <w:lang w:eastAsia="ru-RU"/>
        </w:rPr>
      </w:pPr>
      <w:r w:rsidRPr="006C4A45">
        <w:rPr>
          <w:rFonts w:ascii="Times New Roman" w:eastAsia="Times New Roman" w:hAnsi="Times New Roman" w:cs="Times New Roman"/>
          <w:b/>
          <w:bCs/>
          <w:sz w:val="24"/>
          <w:szCs w:val="24"/>
          <w:lang w:eastAsia="ru-RU"/>
        </w:rPr>
        <w:t>ОБЩАЯ ХАРАКТЕРИСТИКА ЛЕКАРСТВЕННОГО ПРЕПАРАТА</w:t>
      </w:r>
    </w:p>
    <w:p w14:paraId="726DF0CF" w14:textId="77777777" w:rsidR="00A75F5E" w:rsidRPr="006C4A45" w:rsidRDefault="00A75F5E" w:rsidP="00354AE1">
      <w:pPr>
        <w:spacing w:after="0" w:line="240" w:lineRule="auto"/>
        <w:jc w:val="center"/>
        <w:rPr>
          <w:rFonts w:ascii="Times New Roman" w:eastAsia="Times New Roman" w:hAnsi="Times New Roman" w:cs="Times New Roman"/>
          <w:b/>
          <w:bCs/>
          <w:sz w:val="24"/>
          <w:szCs w:val="24"/>
          <w:lang w:eastAsia="ru-RU"/>
        </w:rPr>
      </w:pPr>
    </w:p>
    <w:p w14:paraId="7EBC20CB" w14:textId="77777777" w:rsidR="009C166C" w:rsidRPr="006C4A45" w:rsidRDefault="007471D2" w:rsidP="00A75F5E">
      <w:pPr>
        <w:pStyle w:val="af7"/>
        <w:numPr>
          <w:ilvl w:val="0"/>
          <w:numId w:val="15"/>
        </w:numPr>
        <w:tabs>
          <w:tab w:val="left" w:pos="284"/>
        </w:tabs>
        <w:spacing w:after="0" w:line="240" w:lineRule="auto"/>
        <w:ind w:left="0" w:firstLine="0"/>
        <w:jc w:val="both"/>
        <w:rPr>
          <w:rFonts w:ascii="Times New Roman" w:hAnsi="Times New Roman" w:cs="Times New Roman"/>
          <w:b/>
          <w:sz w:val="24"/>
          <w:szCs w:val="24"/>
        </w:rPr>
      </w:pPr>
      <w:r w:rsidRPr="006C4A45">
        <w:rPr>
          <w:rFonts w:ascii="Times New Roman" w:hAnsi="Times New Roman" w:cs="Times New Roman"/>
          <w:b/>
          <w:sz w:val="24"/>
          <w:szCs w:val="24"/>
        </w:rPr>
        <w:t>НАИМЕНОВАНИЕ ЛЕКАРСТВЕННОГО ПРЕПАРАТА</w:t>
      </w:r>
    </w:p>
    <w:p w14:paraId="124305A8" w14:textId="77777777" w:rsidR="00CB4506" w:rsidRPr="006C4A45" w:rsidRDefault="00705BCF" w:rsidP="00CB4506">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Катенокс</w:t>
      </w:r>
      <w:proofErr w:type="spellEnd"/>
      <w:r w:rsidR="00CB4506" w:rsidRPr="006C4A45">
        <w:rPr>
          <w:rFonts w:ascii="Times New Roman" w:hAnsi="Times New Roman" w:cs="Times New Roman"/>
          <w:sz w:val="24"/>
          <w:szCs w:val="24"/>
        </w:rPr>
        <w:t xml:space="preserve">, </w:t>
      </w:r>
      <w:r w:rsidRPr="006C4A45">
        <w:rPr>
          <w:rFonts w:ascii="Times New Roman" w:hAnsi="Times New Roman" w:cs="Times New Roman"/>
          <w:sz w:val="24"/>
          <w:szCs w:val="24"/>
        </w:rPr>
        <w:t>2000 анти-Ха МЕ/0.2 мл, 4000 анти-Ха МЕ/0.4 мл</w:t>
      </w:r>
      <w:r w:rsidR="00CB4506" w:rsidRPr="006C4A45">
        <w:rPr>
          <w:rFonts w:ascii="Times New Roman" w:hAnsi="Times New Roman" w:cs="Times New Roman"/>
          <w:sz w:val="24"/>
          <w:szCs w:val="24"/>
        </w:rPr>
        <w:t xml:space="preserve">, </w:t>
      </w:r>
      <w:r w:rsidRPr="006C4A45">
        <w:rPr>
          <w:rFonts w:ascii="Times New Roman" w:hAnsi="Times New Roman" w:cs="Times New Roman"/>
          <w:sz w:val="24"/>
          <w:szCs w:val="24"/>
        </w:rPr>
        <w:t>раствор для инъекций</w:t>
      </w:r>
      <w:r w:rsidR="005D7D1D" w:rsidRPr="006C4A45">
        <w:rPr>
          <w:rFonts w:ascii="Times New Roman" w:hAnsi="Times New Roman" w:cs="Times New Roman"/>
          <w:sz w:val="24"/>
          <w:szCs w:val="24"/>
        </w:rPr>
        <w:t xml:space="preserve"> </w:t>
      </w:r>
    </w:p>
    <w:p w14:paraId="303CC5E4" w14:textId="77777777" w:rsidR="007471D2" w:rsidRPr="006C4A45" w:rsidRDefault="007471D2" w:rsidP="00A75F5E">
      <w:pPr>
        <w:spacing w:after="0" w:line="240" w:lineRule="auto"/>
        <w:jc w:val="both"/>
        <w:rPr>
          <w:rFonts w:ascii="Times New Roman" w:hAnsi="Times New Roman" w:cs="Times New Roman"/>
          <w:sz w:val="24"/>
          <w:szCs w:val="24"/>
        </w:rPr>
      </w:pPr>
    </w:p>
    <w:p w14:paraId="268076B9" w14:textId="77777777" w:rsidR="009C166C" w:rsidRPr="006C4A45" w:rsidRDefault="007471D2"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2. КАЧЕСТВЕННЫЙ И КОЛИЧЕСТВЕННЫЙ СОСТАВ</w:t>
      </w:r>
    </w:p>
    <w:p w14:paraId="29576835" w14:textId="77777777" w:rsidR="007471D2" w:rsidRPr="006C4A45" w:rsidRDefault="007471D2" w:rsidP="00A75F5E">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6C4A45">
        <w:rPr>
          <w:rFonts w:ascii="Times New Roman" w:eastAsia="TimesNewRomanPSMT" w:hAnsi="Times New Roman" w:cs="Times New Roman"/>
          <w:b/>
          <w:bCs/>
          <w:sz w:val="24"/>
          <w:szCs w:val="24"/>
          <w:lang w:eastAsia="ru-RU"/>
        </w:rPr>
        <w:t>2.1 Общее описание</w:t>
      </w:r>
      <w:r w:rsidRPr="006C4A45">
        <w:rPr>
          <w:rFonts w:ascii="Times New Roman" w:eastAsia="Times New Roman" w:hAnsi="Times New Roman" w:cs="Times New Roman"/>
          <w:b/>
          <w:bCs/>
          <w:sz w:val="24"/>
          <w:szCs w:val="24"/>
          <w:lang w:eastAsia="ru-RU"/>
        </w:rPr>
        <w:t xml:space="preserve"> </w:t>
      </w:r>
    </w:p>
    <w:p w14:paraId="19457A4B" w14:textId="77777777" w:rsidR="007471D2" w:rsidRPr="006C4A45" w:rsidRDefault="00705BCF" w:rsidP="00A75F5E">
      <w:pPr>
        <w:widowControl w:val="0"/>
        <w:autoSpaceDE w:val="0"/>
        <w:autoSpaceDN w:val="0"/>
        <w:spacing w:after="0" w:line="240" w:lineRule="auto"/>
        <w:ind w:left="2977" w:hanging="2977"/>
        <w:jc w:val="both"/>
        <w:rPr>
          <w:rFonts w:ascii="Times New Roman" w:eastAsia="Times New Roman" w:hAnsi="Times New Roman" w:cs="Times New Roman"/>
          <w:bCs/>
          <w:sz w:val="24"/>
          <w:szCs w:val="24"/>
          <w:lang w:eastAsia="ru-RU"/>
        </w:rPr>
      </w:pPr>
      <w:proofErr w:type="spellStart"/>
      <w:r w:rsidRPr="006C4A45">
        <w:rPr>
          <w:rFonts w:ascii="Times New Roman" w:eastAsia="Times New Roman" w:hAnsi="Times New Roman" w:cs="Times New Roman"/>
          <w:bCs/>
          <w:sz w:val="24"/>
          <w:szCs w:val="24"/>
          <w:lang w:eastAsia="ru-RU"/>
        </w:rPr>
        <w:t>Эноксапарин</w:t>
      </w:r>
      <w:proofErr w:type="spellEnd"/>
      <w:r w:rsidRPr="006C4A45">
        <w:rPr>
          <w:rFonts w:ascii="Times New Roman" w:eastAsia="Times New Roman" w:hAnsi="Times New Roman" w:cs="Times New Roman"/>
          <w:bCs/>
          <w:sz w:val="24"/>
          <w:szCs w:val="24"/>
          <w:lang w:eastAsia="ru-RU"/>
        </w:rPr>
        <w:t xml:space="preserve"> натрия</w:t>
      </w:r>
    </w:p>
    <w:p w14:paraId="19715C33" w14:textId="77777777" w:rsidR="007471D2" w:rsidRPr="006C4A45" w:rsidRDefault="007471D2" w:rsidP="00A75F5E">
      <w:pPr>
        <w:widowControl w:val="0"/>
        <w:autoSpaceDE w:val="0"/>
        <w:autoSpaceDN w:val="0"/>
        <w:spacing w:after="0" w:line="240" w:lineRule="auto"/>
        <w:ind w:left="2977" w:hanging="2977"/>
        <w:jc w:val="both"/>
        <w:rPr>
          <w:rFonts w:ascii="Times New Roman" w:eastAsia="TimesNewRomanPSMT" w:hAnsi="Times New Roman" w:cs="Times New Roman"/>
          <w:b/>
          <w:bCs/>
          <w:sz w:val="24"/>
          <w:szCs w:val="24"/>
          <w:lang w:eastAsia="ru-RU"/>
        </w:rPr>
      </w:pPr>
      <w:r w:rsidRPr="006C4A45">
        <w:rPr>
          <w:rFonts w:ascii="Times New Roman" w:eastAsia="TimesNewRomanPSMT" w:hAnsi="Times New Roman" w:cs="Times New Roman"/>
          <w:b/>
          <w:bCs/>
          <w:sz w:val="24"/>
          <w:szCs w:val="24"/>
          <w:lang w:eastAsia="ru-RU"/>
        </w:rPr>
        <w:t>2.2 Качественный и количественный состав</w:t>
      </w:r>
    </w:p>
    <w:p w14:paraId="2CEAD8E9" w14:textId="77777777" w:rsidR="00705BCF" w:rsidRPr="006C4A45" w:rsidRDefault="00705BCF"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sz w:val="24"/>
          <w:szCs w:val="24"/>
          <w:lang w:eastAsia="ru-RU"/>
        </w:rPr>
        <w:t xml:space="preserve">1 шприц содержит </w:t>
      </w:r>
    </w:p>
    <w:p w14:paraId="489027F4" w14:textId="77777777" w:rsidR="00705BCF" w:rsidRPr="006C4A45" w:rsidRDefault="00705BCF" w:rsidP="00535B0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i/>
          <w:sz w:val="24"/>
          <w:szCs w:val="24"/>
          <w:lang w:eastAsia="ru-RU"/>
        </w:rPr>
        <w:t>активное вещество</w:t>
      </w:r>
      <w:r w:rsidRPr="006C4A45">
        <w:rPr>
          <w:rFonts w:ascii="Times New Roman" w:eastAsia="Times New Roman" w:hAnsi="Times New Roman" w:cs="Times New Roman"/>
          <w:bCs/>
          <w:sz w:val="24"/>
          <w:szCs w:val="24"/>
          <w:lang w:eastAsia="ru-RU"/>
        </w:rPr>
        <w:t xml:space="preserve"> - </w:t>
      </w:r>
      <w:proofErr w:type="spellStart"/>
      <w:r w:rsidRPr="006C4A45">
        <w:rPr>
          <w:rFonts w:ascii="Times New Roman" w:eastAsia="Times New Roman" w:hAnsi="Times New Roman" w:cs="Times New Roman"/>
          <w:bCs/>
          <w:sz w:val="24"/>
          <w:szCs w:val="24"/>
          <w:lang w:eastAsia="ru-RU"/>
        </w:rPr>
        <w:t>эноксапарина</w:t>
      </w:r>
      <w:proofErr w:type="spellEnd"/>
      <w:r w:rsidRPr="006C4A45">
        <w:rPr>
          <w:rFonts w:ascii="Times New Roman" w:eastAsia="Times New Roman" w:hAnsi="Times New Roman" w:cs="Times New Roman"/>
          <w:bCs/>
          <w:sz w:val="24"/>
          <w:szCs w:val="24"/>
          <w:lang w:eastAsia="ru-RU"/>
        </w:rPr>
        <w:t xml:space="preserve"> натрия 20 мг (эквивалентно 2000 анти-Ха МЕ) или 40 мг (эквивалентно 4000 анти-Ха МЕ),</w:t>
      </w:r>
    </w:p>
    <w:p w14:paraId="5D599627" w14:textId="77777777" w:rsidR="00705BCF" w:rsidRPr="006C4A45" w:rsidRDefault="00705BCF"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C4A45">
        <w:rPr>
          <w:rFonts w:ascii="Times New Roman" w:eastAsia="Times New Roman" w:hAnsi="Times New Roman" w:cs="Times New Roman"/>
          <w:bCs/>
          <w:i/>
          <w:sz w:val="24"/>
          <w:szCs w:val="24"/>
          <w:lang w:eastAsia="ru-RU"/>
        </w:rPr>
        <w:t>вспомогательные вещества:</w:t>
      </w:r>
      <w:r w:rsidRPr="006C4A45">
        <w:rPr>
          <w:rFonts w:ascii="Times New Roman" w:eastAsia="Times New Roman" w:hAnsi="Times New Roman" w:cs="Times New Roman"/>
          <w:bCs/>
          <w:sz w:val="24"/>
          <w:szCs w:val="24"/>
          <w:lang w:eastAsia="ru-RU"/>
        </w:rPr>
        <w:t xml:space="preserve"> натрия гидроксид (для коррекции рН).</w:t>
      </w:r>
    </w:p>
    <w:p w14:paraId="50E24031" w14:textId="77777777" w:rsidR="00824CD9" w:rsidRPr="006C4A45" w:rsidRDefault="00824CD9" w:rsidP="00824CD9">
      <w:pPr>
        <w:autoSpaceDE w:val="0"/>
        <w:autoSpaceDN w:val="0"/>
        <w:adjustRightInd w:val="0"/>
        <w:spacing w:after="0" w:line="240" w:lineRule="auto"/>
        <w:rPr>
          <w:rFonts w:ascii="Times New Roman" w:eastAsia="Times New Roman" w:hAnsi="Times New Roman"/>
          <w:bCs/>
          <w:snapToGrid w:val="0"/>
          <w:sz w:val="24"/>
          <w:szCs w:val="28"/>
          <w:lang w:eastAsia="ru-RU"/>
        </w:rPr>
      </w:pPr>
      <w:r w:rsidRPr="006C4A45">
        <w:rPr>
          <w:rFonts w:ascii="Times New Roman" w:hAnsi="Times New Roman"/>
          <w:iCs/>
          <w:sz w:val="24"/>
          <w:szCs w:val="28"/>
          <w:lang w:eastAsia="ru-RU"/>
        </w:rPr>
        <w:t>Полный список вспомогательных веществ см. в пункте 6.1</w:t>
      </w:r>
      <w:r w:rsidRPr="006C4A45">
        <w:rPr>
          <w:rFonts w:ascii="Times New Roman" w:hAnsi="Times New Roman"/>
          <w:sz w:val="24"/>
          <w:szCs w:val="28"/>
          <w:lang w:eastAsia="ru-RU"/>
        </w:rPr>
        <w:t>.</w:t>
      </w:r>
      <w:r w:rsidR="005D7D1D" w:rsidRPr="006C4A45">
        <w:rPr>
          <w:rFonts w:ascii="Times New Roman" w:hAnsi="Times New Roman"/>
          <w:sz w:val="24"/>
          <w:szCs w:val="28"/>
          <w:lang w:eastAsia="ru-RU"/>
        </w:rPr>
        <w:t xml:space="preserve"> </w:t>
      </w:r>
    </w:p>
    <w:p w14:paraId="12C57278" w14:textId="77777777" w:rsidR="007471D2" w:rsidRPr="006C4A45" w:rsidRDefault="007471D2" w:rsidP="00A75F5E">
      <w:pPr>
        <w:spacing w:after="0" w:line="240" w:lineRule="auto"/>
        <w:jc w:val="both"/>
        <w:rPr>
          <w:rFonts w:ascii="Times New Roman" w:hAnsi="Times New Roman" w:cs="Times New Roman"/>
          <w:sz w:val="24"/>
          <w:szCs w:val="24"/>
        </w:rPr>
      </w:pPr>
    </w:p>
    <w:p w14:paraId="3BC510D4" w14:textId="77777777" w:rsidR="009C166C" w:rsidRPr="006C4A45" w:rsidRDefault="007471D2"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3. ЛЕКАРСТВЕННАЯ ФОРМА</w:t>
      </w:r>
    </w:p>
    <w:p w14:paraId="12236771" w14:textId="77777777" w:rsidR="007471D2" w:rsidRPr="006C4A45" w:rsidRDefault="001D41BD"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Раствор для инъекций</w:t>
      </w:r>
      <w:r w:rsidR="00120AF6" w:rsidRPr="006C4A45">
        <w:rPr>
          <w:rFonts w:ascii="Times New Roman" w:hAnsi="Times New Roman"/>
          <w:sz w:val="24"/>
          <w:szCs w:val="24"/>
        </w:rPr>
        <w:t>.</w:t>
      </w:r>
      <w:r w:rsidR="005D7D1D" w:rsidRPr="006C4A45">
        <w:rPr>
          <w:rFonts w:ascii="Times New Roman" w:hAnsi="Times New Roman"/>
          <w:sz w:val="24"/>
          <w:szCs w:val="24"/>
          <w:u w:val="single"/>
        </w:rPr>
        <w:t xml:space="preserve"> </w:t>
      </w:r>
    </w:p>
    <w:p w14:paraId="13A852A7" w14:textId="5C522760" w:rsidR="007471D2" w:rsidRDefault="0024186D" w:rsidP="00A75F5E">
      <w:pPr>
        <w:spacing w:after="0" w:line="240" w:lineRule="auto"/>
        <w:jc w:val="both"/>
        <w:rPr>
          <w:rFonts w:ascii="Times New Roman" w:hAnsi="Times New Roman" w:cs="Times New Roman"/>
          <w:sz w:val="24"/>
          <w:szCs w:val="24"/>
          <w:lang w:val="kk-KZ"/>
        </w:rPr>
      </w:pPr>
      <w:r w:rsidRPr="0024186D">
        <w:rPr>
          <w:rFonts w:ascii="Times New Roman" w:hAnsi="Times New Roman" w:cs="Times New Roman"/>
          <w:sz w:val="24"/>
          <w:szCs w:val="24"/>
          <w:lang w:val="kk-KZ"/>
        </w:rPr>
        <w:t>Прозрачный раствор от бесцветного до слабо-желтого цвета, свободный от видимых частиц.</w:t>
      </w:r>
    </w:p>
    <w:p w14:paraId="56BD749A" w14:textId="77777777" w:rsidR="0024186D" w:rsidRPr="006C4A45" w:rsidRDefault="0024186D" w:rsidP="00A75F5E">
      <w:pPr>
        <w:spacing w:after="0" w:line="240" w:lineRule="auto"/>
        <w:jc w:val="both"/>
        <w:rPr>
          <w:rFonts w:ascii="Times New Roman" w:hAnsi="Times New Roman" w:cs="Times New Roman"/>
          <w:sz w:val="24"/>
          <w:szCs w:val="24"/>
        </w:rPr>
      </w:pPr>
    </w:p>
    <w:p w14:paraId="3B7779F4"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 КЛИНИЧЕСКИЕ ДАННЫЕ</w:t>
      </w:r>
    </w:p>
    <w:p w14:paraId="718E62B3"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4.1. Показания к применению</w:t>
      </w:r>
    </w:p>
    <w:p w14:paraId="7E6D5DCA" w14:textId="77777777" w:rsidR="001D41BD" w:rsidRPr="006C4A45" w:rsidRDefault="001D41BD" w:rsidP="001D41BD">
      <w:pPr>
        <w:tabs>
          <w:tab w:val="left" w:pos="567"/>
        </w:tabs>
        <w:spacing w:after="0" w:line="240" w:lineRule="auto"/>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профилактика венозных тромбоэмболических заболеваний при хирургических вмешательствах умеренного или высокого риска, в частности у пациентов, перенесших ортопедическую или общехирургическую операцию, включая онкологическую операцию</w:t>
      </w:r>
    </w:p>
    <w:p w14:paraId="44B41CD2"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профилактика венозных тромбоэмболических заболеваний у терапевтических пациентов с острым заболеванием, включая: </w:t>
      </w:r>
    </w:p>
    <w:p w14:paraId="4CC289AB"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острую сердечную недостаточность </w:t>
      </w:r>
    </w:p>
    <w:p w14:paraId="5E2835BE"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острую дыхательную недостаточность</w:t>
      </w:r>
    </w:p>
    <w:p w14:paraId="47A2A4F2"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тяжелые инфекционные или ревматические заболевания </w:t>
      </w:r>
    </w:p>
    <w:p w14:paraId="459EB978" w14:textId="77777777" w:rsidR="001D41BD" w:rsidRPr="006C4A45" w:rsidRDefault="001D41BD" w:rsidP="001D41BD">
      <w:pPr>
        <w:numPr>
          <w:ilvl w:val="0"/>
          <w:numId w:val="19"/>
        </w:numPr>
        <w:autoSpaceDE w:val="0"/>
        <w:autoSpaceDN w:val="0"/>
        <w:adjustRightInd w:val="0"/>
        <w:spacing w:after="0" w:line="240" w:lineRule="auto"/>
        <w:ind w:left="1134" w:hanging="283"/>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снижение подвижности при повышенном риске венозной тромбоэмболии </w:t>
      </w:r>
    </w:p>
    <w:p w14:paraId="753E1D76" w14:textId="02FB3274"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лечение тромбоза глубоких вен (ТГВ) в сочетании с тромбоэмболией легочной артерии (ТЭЛА), за исключением ТЭЛА, для которой может потребоваться лечение </w:t>
      </w:r>
      <w:proofErr w:type="spellStart"/>
      <w:r w:rsidRPr="006C4A45">
        <w:rPr>
          <w:rFonts w:ascii="Times New Roman" w:eastAsia="Times New Roman" w:hAnsi="Times New Roman" w:cs="Times New Roman"/>
          <w:color w:val="000000"/>
          <w:sz w:val="24"/>
          <w:szCs w:val="24"/>
          <w:lang w:eastAsia="ru-RU"/>
        </w:rPr>
        <w:t>тромболитическим</w:t>
      </w:r>
      <w:proofErr w:type="spellEnd"/>
      <w:r w:rsidRPr="006C4A45">
        <w:rPr>
          <w:rFonts w:ascii="Times New Roman" w:eastAsia="Times New Roman" w:hAnsi="Times New Roman" w:cs="Times New Roman"/>
          <w:color w:val="000000"/>
          <w:sz w:val="24"/>
          <w:szCs w:val="24"/>
          <w:lang w:eastAsia="ru-RU"/>
        </w:rPr>
        <w:t xml:space="preserve"> средством или хирургическим путем </w:t>
      </w:r>
    </w:p>
    <w:p w14:paraId="79CB4A41" w14:textId="45963588" w:rsidR="00C06EA3" w:rsidRPr="006C4A45" w:rsidRDefault="00C06EA3" w:rsidP="004B5D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w:t>
      </w:r>
      <w:r w:rsidR="00020022" w:rsidRPr="006C4A45">
        <w:rPr>
          <w:rFonts w:ascii="Times New Roman" w:eastAsia="Times New Roman" w:hAnsi="Times New Roman" w:cs="Times New Roman"/>
          <w:color w:val="000000"/>
          <w:sz w:val="24"/>
          <w:szCs w:val="24"/>
          <w:lang w:eastAsia="ru-RU"/>
        </w:rPr>
        <w:t>д</w:t>
      </w:r>
      <w:r w:rsidR="004B5DDA" w:rsidRPr="006C4A45">
        <w:rPr>
          <w:rFonts w:ascii="Times New Roman" w:eastAsia="Times New Roman" w:hAnsi="Times New Roman" w:cs="Times New Roman"/>
          <w:color w:val="000000"/>
          <w:sz w:val="24"/>
          <w:szCs w:val="24"/>
          <w:lang w:eastAsia="ru-RU"/>
        </w:rPr>
        <w:t>лительное лечение тромбоза глубоких вен (ТГВ) и тромбоэмболии легочной артерии (ТЭЛА) и профилактика их рецидивов у пациентов с активным раком</w:t>
      </w:r>
    </w:p>
    <w:p w14:paraId="6AFD3525"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профилактика тромбообразования при искусственном кровообращении во время гемодиализа </w:t>
      </w:r>
    </w:p>
    <w:p w14:paraId="0EECC142" w14:textId="77777777"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i/>
          <w:color w:val="000000"/>
          <w:sz w:val="24"/>
          <w:szCs w:val="24"/>
          <w:lang w:eastAsia="ru-RU"/>
        </w:rPr>
        <w:t>При остром коронарном синдроме:</w:t>
      </w:r>
    </w:p>
    <w:p w14:paraId="2BBEBB59" w14:textId="7713D18F" w:rsidR="001D41BD" w:rsidRPr="006C4A45" w:rsidRDefault="001D41BD" w:rsidP="001D41BD">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лечение нестабильной стенокардии и инфаркта миокарда без подъёма сегмента ST в сочетании с ацетилсалициловой кислотой</w:t>
      </w:r>
      <w:r w:rsidR="00C06EA3" w:rsidRPr="006C4A45">
        <w:rPr>
          <w:rFonts w:ascii="Times New Roman" w:eastAsia="Times New Roman" w:hAnsi="Times New Roman" w:cs="Times New Roman"/>
          <w:sz w:val="24"/>
          <w:szCs w:val="24"/>
          <w:lang w:eastAsia="hu-HU"/>
        </w:rPr>
        <w:t>.</w:t>
      </w:r>
    </w:p>
    <w:p w14:paraId="4F260BEA" w14:textId="26CF896A" w:rsidR="001D41BD" w:rsidRPr="006C4A45" w:rsidRDefault="001D41BD"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lastRenderedPageBreak/>
        <w:t xml:space="preserve">Не применяется при лечении острого инфаркта миокарда с подъемом сегмента </w:t>
      </w:r>
      <w:r w:rsidRPr="006C4A45">
        <w:rPr>
          <w:rFonts w:ascii="Times New Roman" w:eastAsia="Times New Roman" w:hAnsi="Times New Roman" w:cs="Times New Roman"/>
          <w:color w:val="000000"/>
          <w:sz w:val="24"/>
          <w:szCs w:val="24"/>
          <w:lang w:val="en-US" w:eastAsia="ru-RU"/>
        </w:rPr>
        <w:t>ST</w:t>
      </w:r>
      <w:r w:rsidRPr="006C4A45">
        <w:rPr>
          <w:rFonts w:ascii="Times New Roman" w:eastAsia="Times New Roman" w:hAnsi="Times New Roman" w:cs="Times New Roman"/>
          <w:color w:val="000000"/>
          <w:sz w:val="24"/>
          <w:szCs w:val="24"/>
          <w:lang w:eastAsia="ru-RU"/>
        </w:rPr>
        <w:t xml:space="preserve">, в том числе у пациентов, которые подлежат лечению медикаментозно или с помощью последующего </w:t>
      </w:r>
      <w:proofErr w:type="spellStart"/>
      <w:r w:rsidRPr="006C4A45">
        <w:rPr>
          <w:rFonts w:ascii="Times New Roman" w:eastAsia="Times New Roman" w:hAnsi="Times New Roman" w:cs="Times New Roman"/>
          <w:color w:val="000000"/>
          <w:sz w:val="24"/>
          <w:szCs w:val="24"/>
          <w:lang w:eastAsia="ru-RU"/>
        </w:rPr>
        <w:t>чрескожного</w:t>
      </w:r>
      <w:proofErr w:type="spellEnd"/>
      <w:r w:rsidRPr="006C4A45">
        <w:rPr>
          <w:rFonts w:ascii="Times New Roman" w:eastAsia="Times New Roman" w:hAnsi="Times New Roman" w:cs="Times New Roman"/>
          <w:color w:val="000000"/>
          <w:sz w:val="24"/>
          <w:szCs w:val="24"/>
          <w:lang w:eastAsia="ru-RU"/>
        </w:rPr>
        <w:t xml:space="preserve"> коронарного вмешательства (ЧКВ) из-за невозможности введения необходимой стартовой дозы 30 мг, т.к. на шприцах препарата </w:t>
      </w:r>
      <w:proofErr w:type="spellStart"/>
      <w:r w:rsidRPr="006C4A45">
        <w:rPr>
          <w:rFonts w:ascii="Times New Roman" w:eastAsia="Times New Roman" w:hAnsi="Times New Roman" w:cs="Times New Roman"/>
          <w:color w:val="000000"/>
          <w:sz w:val="24"/>
          <w:szCs w:val="24"/>
          <w:lang w:eastAsia="ru-RU"/>
        </w:rPr>
        <w:t>Катенокс</w:t>
      </w:r>
      <w:proofErr w:type="spellEnd"/>
      <w:r w:rsidRPr="006C4A45">
        <w:rPr>
          <w:rFonts w:ascii="Times New Roman" w:eastAsia="Times New Roman" w:hAnsi="Times New Roman" w:cs="Times New Roman"/>
          <w:color w:val="000000"/>
          <w:sz w:val="24"/>
          <w:szCs w:val="24"/>
          <w:lang w:eastAsia="ru-RU"/>
        </w:rPr>
        <w:t xml:space="preserve"> с дозировкой 2000 анти-Ха МЕ/0.2 мл (20 мг) и 4000 анти-Ха МЕ/0.4 мл (40 мг) отсутств</w:t>
      </w:r>
      <w:r w:rsidR="0022375E" w:rsidRPr="006C4A45">
        <w:rPr>
          <w:rFonts w:ascii="Times New Roman" w:eastAsia="Times New Roman" w:hAnsi="Times New Roman" w:cs="Times New Roman"/>
          <w:color w:val="000000"/>
          <w:sz w:val="24"/>
          <w:szCs w:val="24"/>
          <w:lang w:eastAsia="ru-RU"/>
        </w:rPr>
        <w:t>ует шкала делений/</w:t>
      </w:r>
      <w:proofErr w:type="spellStart"/>
      <w:r w:rsidR="0022375E" w:rsidRPr="006C4A45">
        <w:rPr>
          <w:rFonts w:ascii="Times New Roman" w:eastAsia="Times New Roman" w:hAnsi="Times New Roman" w:cs="Times New Roman"/>
          <w:color w:val="000000"/>
          <w:sz w:val="24"/>
          <w:szCs w:val="24"/>
          <w:lang w:eastAsia="ru-RU"/>
        </w:rPr>
        <w:t>градуирование</w:t>
      </w:r>
      <w:proofErr w:type="spellEnd"/>
      <w:r w:rsidR="00177591" w:rsidRPr="006C4A45">
        <w:rPr>
          <w:rFonts w:ascii="Times New Roman" w:eastAsia="Times New Roman" w:hAnsi="Times New Roman" w:cs="Times New Roman"/>
          <w:color w:val="000000"/>
          <w:sz w:val="24"/>
          <w:szCs w:val="24"/>
          <w:lang w:eastAsia="ru-RU"/>
        </w:rPr>
        <w:t xml:space="preserve">, </w:t>
      </w:r>
      <w:bookmarkStart w:id="0" w:name="_Hlk181346738"/>
      <w:r w:rsidR="00177591" w:rsidRPr="006C4A45">
        <w:rPr>
          <w:rFonts w:ascii="Times New Roman" w:eastAsia="Times New Roman" w:hAnsi="Times New Roman" w:cs="Times New Roman"/>
          <w:color w:val="000000"/>
          <w:sz w:val="24"/>
          <w:szCs w:val="24"/>
          <w:lang w:eastAsia="ru-RU"/>
        </w:rPr>
        <w:t>кроме пожилых пациентов, у которых не требуется введения стартовой дозы</w:t>
      </w:r>
      <w:bookmarkEnd w:id="0"/>
      <w:r w:rsidR="00535B05" w:rsidRPr="006C4A45">
        <w:rPr>
          <w:rFonts w:ascii="Times New Roman" w:eastAsia="Times New Roman" w:hAnsi="Times New Roman" w:cs="Times New Roman"/>
          <w:color w:val="000000"/>
          <w:sz w:val="24"/>
          <w:szCs w:val="24"/>
          <w:lang w:eastAsia="ru-RU"/>
        </w:rPr>
        <w:t>.</w:t>
      </w:r>
    </w:p>
    <w:p w14:paraId="01A3EDE6" w14:textId="77777777" w:rsidR="00D1624C" w:rsidRPr="006C4A45" w:rsidRDefault="00D1624C" w:rsidP="00D1624C">
      <w:pPr>
        <w:spacing w:after="0" w:line="240" w:lineRule="auto"/>
        <w:jc w:val="both"/>
        <w:rPr>
          <w:rFonts w:ascii="Times New Roman" w:hAnsi="Times New Roman" w:cs="Times New Roman"/>
          <w:color w:val="FF0000"/>
          <w:sz w:val="24"/>
          <w:szCs w:val="24"/>
        </w:rPr>
      </w:pPr>
    </w:p>
    <w:p w14:paraId="08EA3486" w14:textId="77777777" w:rsidR="009C166C" w:rsidRPr="006C4A45" w:rsidRDefault="00CF019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4.2. </w:t>
      </w:r>
      <w:r w:rsidR="009C166C" w:rsidRPr="006C4A45">
        <w:rPr>
          <w:rFonts w:ascii="Times New Roman" w:hAnsi="Times New Roman" w:cs="Times New Roman"/>
          <w:b/>
          <w:sz w:val="24"/>
          <w:szCs w:val="24"/>
        </w:rPr>
        <w:t xml:space="preserve">Режим </w:t>
      </w:r>
      <w:r w:rsidRPr="006C4A45">
        <w:rPr>
          <w:rFonts w:ascii="Times New Roman" w:hAnsi="Times New Roman" w:cs="Times New Roman"/>
          <w:b/>
          <w:sz w:val="24"/>
          <w:szCs w:val="24"/>
        </w:rPr>
        <w:t>дозирования и способ применения</w:t>
      </w:r>
    </w:p>
    <w:p w14:paraId="1BEDB35A" w14:textId="77777777" w:rsidR="009C166C" w:rsidRPr="006C4A45" w:rsidRDefault="009C166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Режим дозирования</w:t>
      </w:r>
    </w:p>
    <w:p w14:paraId="09064B4B" w14:textId="6556735F" w:rsidR="005A10DC" w:rsidRPr="006C4A45" w:rsidRDefault="005A10DC" w:rsidP="005A10DC">
      <w:pPr>
        <w:spacing w:after="0" w:line="240" w:lineRule="auto"/>
        <w:jc w:val="both"/>
        <w:rPr>
          <w:rFonts w:ascii="Times New Roman" w:hAnsi="Times New Roman" w:cs="Times New Roman"/>
          <w:bCs/>
          <w:i/>
          <w:sz w:val="24"/>
          <w:szCs w:val="24"/>
        </w:rPr>
      </w:pPr>
      <w:r w:rsidRPr="006C4A45">
        <w:rPr>
          <w:rFonts w:ascii="Times New Roman" w:hAnsi="Times New Roman" w:cs="Times New Roman"/>
          <w:bCs/>
          <w:i/>
          <w:sz w:val="24"/>
          <w:szCs w:val="24"/>
        </w:rPr>
        <w:t xml:space="preserve">Профилактика венозных тромбоэмболических заболеваний при хирургических вмешательствах умеренного или высокого риска </w:t>
      </w:r>
    </w:p>
    <w:p w14:paraId="4094F255" w14:textId="2656214A" w:rsidR="00647612" w:rsidRPr="006C4A45" w:rsidRDefault="00647612" w:rsidP="005A10DC">
      <w:pPr>
        <w:spacing w:after="0" w:line="240" w:lineRule="auto"/>
        <w:jc w:val="both"/>
        <w:rPr>
          <w:rFonts w:ascii="Times New Roman" w:hAnsi="Times New Roman" w:cs="Times New Roman"/>
          <w:iCs/>
          <w:sz w:val="24"/>
          <w:szCs w:val="24"/>
        </w:rPr>
      </w:pPr>
      <w:r w:rsidRPr="006C4A45">
        <w:rPr>
          <w:rFonts w:ascii="Times New Roman" w:hAnsi="Times New Roman" w:cs="Times New Roman"/>
          <w:iCs/>
          <w:sz w:val="24"/>
          <w:szCs w:val="24"/>
        </w:rPr>
        <w:t xml:space="preserve">Индивидуальный тромбоэмболический риск для пациентов может быть оценен с помощью </w:t>
      </w:r>
      <w:proofErr w:type="spellStart"/>
      <w:r w:rsidRPr="006C4A45">
        <w:rPr>
          <w:rFonts w:ascii="Times New Roman" w:hAnsi="Times New Roman" w:cs="Times New Roman"/>
          <w:iCs/>
          <w:sz w:val="24"/>
          <w:szCs w:val="24"/>
        </w:rPr>
        <w:t>валидированной</w:t>
      </w:r>
      <w:proofErr w:type="spellEnd"/>
      <w:r w:rsidRPr="006C4A45">
        <w:rPr>
          <w:rFonts w:ascii="Times New Roman" w:hAnsi="Times New Roman" w:cs="Times New Roman"/>
          <w:iCs/>
          <w:sz w:val="24"/>
          <w:szCs w:val="24"/>
        </w:rPr>
        <w:t xml:space="preserve"> модели стратификации риска.</w:t>
      </w:r>
    </w:p>
    <w:p w14:paraId="4EB42CAC" w14:textId="77777777" w:rsidR="00647612"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пациентам с умеренным риском тромбообразования 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2 000 МЕ (20 мг) один раз в сутки подкожно. Доказана эффективность и безопасность дооперационного начала (за 2 часа до хирургического вмешательства) терапии </w:t>
      </w:r>
      <w:proofErr w:type="spellStart"/>
      <w:r w:rsidRPr="006C4A45">
        <w:rPr>
          <w:rFonts w:ascii="Times New Roman" w:hAnsi="Times New Roman" w:cs="Times New Roman"/>
          <w:sz w:val="24"/>
          <w:szCs w:val="24"/>
        </w:rPr>
        <w:t>эно</w:t>
      </w:r>
      <w:r w:rsidR="00733988" w:rsidRPr="006C4A45">
        <w:rPr>
          <w:rFonts w:ascii="Times New Roman" w:hAnsi="Times New Roman" w:cs="Times New Roman"/>
          <w:sz w:val="24"/>
          <w:szCs w:val="24"/>
        </w:rPr>
        <w:t>ксапарином</w:t>
      </w:r>
      <w:proofErr w:type="spellEnd"/>
      <w:r w:rsidR="00733988" w:rsidRPr="006C4A45">
        <w:rPr>
          <w:rFonts w:ascii="Times New Roman" w:hAnsi="Times New Roman" w:cs="Times New Roman"/>
          <w:sz w:val="24"/>
          <w:szCs w:val="24"/>
        </w:rPr>
        <w:t xml:space="preserve"> натрия 2 000 МЕ </w:t>
      </w:r>
      <w:r w:rsidRPr="006C4A45">
        <w:rPr>
          <w:rFonts w:ascii="Times New Roman" w:hAnsi="Times New Roman" w:cs="Times New Roman"/>
          <w:sz w:val="24"/>
          <w:szCs w:val="24"/>
        </w:rPr>
        <w:t xml:space="preserve">(20 мг) в хирургии умеренного риска. </w:t>
      </w:r>
    </w:p>
    <w:p w14:paraId="518331EE" w14:textId="411B1FA3" w:rsidR="005A10DC" w:rsidRPr="006C4A45" w:rsidRDefault="0064761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у</w:t>
      </w:r>
      <w:r w:rsidR="005A10DC" w:rsidRPr="006C4A45">
        <w:rPr>
          <w:rFonts w:ascii="Times New Roman" w:hAnsi="Times New Roman" w:cs="Times New Roman"/>
          <w:sz w:val="24"/>
          <w:szCs w:val="24"/>
        </w:rPr>
        <w:t xml:space="preserve"> пациентов с умеренным риском лечение </w:t>
      </w:r>
      <w:proofErr w:type="spellStart"/>
      <w:r w:rsidR="005A10DC" w:rsidRPr="006C4A45">
        <w:rPr>
          <w:rFonts w:ascii="Times New Roman" w:hAnsi="Times New Roman" w:cs="Times New Roman"/>
          <w:sz w:val="24"/>
          <w:szCs w:val="24"/>
        </w:rPr>
        <w:t>эноксапарином</w:t>
      </w:r>
      <w:proofErr w:type="spellEnd"/>
      <w:r w:rsidR="005A10DC" w:rsidRPr="006C4A45">
        <w:rPr>
          <w:rFonts w:ascii="Times New Roman" w:hAnsi="Times New Roman" w:cs="Times New Roman"/>
          <w:sz w:val="24"/>
          <w:szCs w:val="24"/>
        </w:rPr>
        <w:t xml:space="preserve"> натрия следует поддерживать в течение минимум 7-10 дней независимо от статуса выздоровления (двигательной функции). Профилактику необходимо продолжать до тех пор, пока у пациента значительно не улучшится двигательная активность.</w:t>
      </w:r>
    </w:p>
    <w:p w14:paraId="311F6A11"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пациентам с повышенным риском развития тромбообразования рекомендуемая доза составляет 4</w:t>
      </w:r>
      <w:r w:rsidRPr="006C4A45">
        <w:rPr>
          <w:rFonts w:ascii="Times New Roman" w:hAnsi="Times New Roman" w:cs="Times New Roman"/>
          <w:sz w:val="24"/>
          <w:szCs w:val="24"/>
          <w:lang w:val="en-GB"/>
        </w:rPr>
        <w:t> </w:t>
      </w:r>
      <w:r w:rsidRPr="006C4A45">
        <w:rPr>
          <w:rFonts w:ascii="Times New Roman" w:hAnsi="Times New Roman" w:cs="Times New Roman"/>
          <w:sz w:val="24"/>
          <w:szCs w:val="24"/>
        </w:rPr>
        <w:t xml:space="preserve">000 МЕ (40 мг) 1 раз в сутки подкожно, предпочтительно начать за 12 часов до хирургического вмешательства. В случае необходимости начала дооперационного профилактического лечения </w:t>
      </w:r>
      <w:proofErr w:type="spellStart"/>
      <w:r w:rsidRPr="006C4A45">
        <w:rPr>
          <w:rFonts w:ascii="Times New Roman" w:hAnsi="Times New Roman" w:cs="Times New Roman"/>
          <w:sz w:val="24"/>
          <w:szCs w:val="24"/>
        </w:rPr>
        <w:t>эноксапарином</w:t>
      </w:r>
      <w:proofErr w:type="spellEnd"/>
      <w:r w:rsidRPr="006C4A45">
        <w:rPr>
          <w:rFonts w:ascii="Times New Roman" w:hAnsi="Times New Roman" w:cs="Times New Roman"/>
          <w:sz w:val="24"/>
          <w:szCs w:val="24"/>
        </w:rPr>
        <w:t xml:space="preserve"> натрия раньше, чем за 12 часов до операции (например, пациент повышенного риска, ожидающий отсроченной ортопедической операции), последняя инъекция должна быть введена не позднее, чем за 12 часов до операции и инъекции возобновляются через 12 часов после операции.</w:t>
      </w:r>
    </w:p>
    <w:p w14:paraId="1D34CDDE" w14:textId="77777777" w:rsidR="005A10DC" w:rsidRPr="006C4A45" w:rsidRDefault="005A10DC" w:rsidP="00647612">
      <w:pPr>
        <w:numPr>
          <w:ilvl w:val="0"/>
          <w:numId w:val="20"/>
        </w:numPr>
        <w:spacing w:after="0" w:line="240" w:lineRule="auto"/>
        <w:ind w:left="709"/>
        <w:jc w:val="both"/>
        <w:rPr>
          <w:rFonts w:ascii="Times New Roman" w:hAnsi="Times New Roman" w:cs="Times New Roman"/>
          <w:sz w:val="24"/>
          <w:szCs w:val="24"/>
        </w:rPr>
      </w:pPr>
      <w:r w:rsidRPr="006C4A45">
        <w:rPr>
          <w:rFonts w:ascii="Times New Roman" w:hAnsi="Times New Roman" w:cs="Times New Roman"/>
          <w:sz w:val="24"/>
          <w:szCs w:val="24"/>
        </w:rPr>
        <w:t>Для пациентов, перенесших крупную ортопедическую операцию, рекомендована продленная профилактика тромбозов до 5 недель.</w:t>
      </w:r>
    </w:p>
    <w:p w14:paraId="0DCA8043" w14:textId="77777777" w:rsidR="005A10DC" w:rsidRPr="006C4A45" w:rsidRDefault="005A10DC" w:rsidP="00647612">
      <w:pPr>
        <w:numPr>
          <w:ilvl w:val="0"/>
          <w:numId w:val="20"/>
        </w:numPr>
        <w:spacing w:after="0" w:line="240" w:lineRule="auto"/>
        <w:ind w:left="709"/>
        <w:jc w:val="both"/>
        <w:rPr>
          <w:rFonts w:ascii="Times New Roman" w:hAnsi="Times New Roman" w:cs="Times New Roman"/>
          <w:sz w:val="24"/>
          <w:szCs w:val="24"/>
        </w:rPr>
      </w:pPr>
      <w:r w:rsidRPr="006C4A45">
        <w:rPr>
          <w:rFonts w:ascii="Times New Roman" w:hAnsi="Times New Roman" w:cs="Times New Roman"/>
          <w:sz w:val="24"/>
          <w:szCs w:val="24"/>
        </w:rPr>
        <w:t>Для пациентов с повышенным риском развития венозной тромбоэмболии, перенесших операцию на органах брюшной полости или органах таза по поводу злокачественного новообразования, рекомендована продленная профилактика тромбозов до 4 недель.</w:t>
      </w:r>
    </w:p>
    <w:p w14:paraId="2CA7502D"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Профилактика венозных тромбоэмболических заболеваний у терапевтических пациентов </w:t>
      </w:r>
    </w:p>
    <w:p w14:paraId="29BB8CEA"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4 000 МЕ (40 мг), вводится 1 раз в сутки путем подкожной инъекции. </w:t>
      </w:r>
    </w:p>
    <w:p w14:paraId="1B19BA30" w14:textId="0FB5FB36"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Лечение </w:t>
      </w:r>
      <w:proofErr w:type="spellStart"/>
      <w:r w:rsidRPr="006C4A45">
        <w:rPr>
          <w:rFonts w:ascii="Times New Roman" w:hAnsi="Times New Roman" w:cs="Times New Roman"/>
          <w:sz w:val="24"/>
          <w:szCs w:val="24"/>
        </w:rPr>
        <w:t>эноксапарином</w:t>
      </w:r>
      <w:proofErr w:type="spellEnd"/>
      <w:r w:rsidRPr="006C4A45">
        <w:rPr>
          <w:rFonts w:ascii="Times New Roman" w:hAnsi="Times New Roman" w:cs="Times New Roman"/>
          <w:sz w:val="24"/>
          <w:szCs w:val="24"/>
        </w:rPr>
        <w:t xml:space="preserve"> натрия назначается минимум на 6-14 дней независимо от статуса выздоровления (двигательной функции). На данный момент нет данных </w:t>
      </w:r>
      <w:r w:rsidR="0055273F" w:rsidRPr="006C4A45">
        <w:rPr>
          <w:rFonts w:ascii="Times New Roman" w:hAnsi="Times New Roman" w:cs="Times New Roman"/>
          <w:sz w:val="24"/>
          <w:szCs w:val="24"/>
        </w:rPr>
        <w:t>касаемо пользы</w:t>
      </w:r>
      <w:r w:rsidRPr="006C4A45">
        <w:rPr>
          <w:rFonts w:ascii="Times New Roman" w:hAnsi="Times New Roman" w:cs="Times New Roman"/>
          <w:sz w:val="24"/>
          <w:szCs w:val="24"/>
        </w:rPr>
        <w:t xml:space="preserve"> в отношении терапии, проводимой в течение более 14 дней. </w:t>
      </w:r>
    </w:p>
    <w:p w14:paraId="0004D8F6" w14:textId="77777777" w:rsidR="0055273F" w:rsidRPr="006C4A45" w:rsidRDefault="0055273F" w:rsidP="0055273F">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 xml:space="preserve">Лечение тромбоза глубоких вен (ТГВ) в сочетании с тромбоэмболией легочной артерии (ТЭЛА) </w:t>
      </w:r>
    </w:p>
    <w:p w14:paraId="5503F7C2" w14:textId="77777777" w:rsidR="0055273F" w:rsidRPr="006C4A45" w:rsidRDefault="0055273F" w:rsidP="0055273F">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вводится подкожно один раз в сутки в дозе 150 МЕ/кг (1.5 мг/кг) или два раза в сутки в дозе 100 МЕ/кг (1 мг/кг).</w:t>
      </w:r>
    </w:p>
    <w:p w14:paraId="53730E9F" w14:textId="353A8AEE" w:rsidR="0055273F" w:rsidRPr="006C4A45" w:rsidRDefault="0055273F"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Режим должен подбирать врач на основании индивидуальной оценки, включая оценку риска тромбоэмболических осложнений и риска кровотечения. Пациентам без осложнений с низким риском рецидива венозной тромбоэмболии следует назначать дозу 150 МЕ/кг (1.5 мг/кг), которая вводится один раз в сутки. Всем другим пациентам (а также с ожирением, с симптоматической ТЭЛА, злокачественным </w:t>
      </w:r>
      <w:r w:rsidRPr="006C4A45">
        <w:rPr>
          <w:rFonts w:ascii="Times New Roman" w:hAnsi="Times New Roman" w:cs="Times New Roman"/>
          <w:sz w:val="24"/>
          <w:szCs w:val="24"/>
        </w:rPr>
        <w:lastRenderedPageBreak/>
        <w:t xml:space="preserve">новообразованием, рецидивирующей венозной тромбоэмболией или проксимальным тромбозом (тромбозом подвздошной вены) следует назначать дозу 100 МЕ/кг (1 мг/кг), которая вводится два раза в сутки. </w:t>
      </w:r>
      <w:r w:rsidR="00EF4764" w:rsidRPr="006C4A45">
        <w:rPr>
          <w:rFonts w:ascii="Times New Roman" w:hAnsi="Times New Roman" w:cs="Times New Roman"/>
          <w:sz w:val="24"/>
          <w:szCs w:val="24"/>
        </w:rPr>
        <w:t xml:space="preserve">Лечение </w:t>
      </w:r>
      <w:proofErr w:type="spellStart"/>
      <w:r w:rsidR="00EF4764" w:rsidRPr="006C4A45">
        <w:rPr>
          <w:rFonts w:ascii="Times New Roman" w:hAnsi="Times New Roman" w:cs="Times New Roman"/>
          <w:sz w:val="24"/>
          <w:szCs w:val="24"/>
        </w:rPr>
        <w:t>эноксапарином</w:t>
      </w:r>
      <w:proofErr w:type="spellEnd"/>
      <w:r w:rsidR="00EF4764" w:rsidRPr="006C4A45">
        <w:rPr>
          <w:rFonts w:ascii="Times New Roman" w:hAnsi="Times New Roman" w:cs="Times New Roman"/>
          <w:sz w:val="24"/>
          <w:szCs w:val="24"/>
        </w:rPr>
        <w:t xml:space="preserve"> натрия назначается в среднем </w:t>
      </w:r>
      <w:r w:rsidR="00177591" w:rsidRPr="006C4A45">
        <w:rPr>
          <w:rFonts w:ascii="Times New Roman" w:hAnsi="Times New Roman" w:cs="Times New Roman"/>
          <w:sz w:val="24"/>
          <w:szCs w:val="24"/>
        </w:rPr>
        <w:t>в течении</w:t>
      </w:r>
      <w:r w:rsidR="00EF4764" w:rsidRPr="006C4A45">
        <w:rPr>
          <w:rFonts w:ascii="Times New Roman" w:hAnsi="Times New Roman" w:cs="Times New Roman"/>
          <w:sz w:val="24"/>
          <w:szCs w:val="24"/>
        </w:rPr>
        <w:t xml:space="preserve"> 10 дней. </w:t>
      </w:r>
      <w:r w:rsidRPr="006C4A45">
        <w:rPr>
          <w:rFonts w:ascii="Times New Roman" w:hAnsi="Times New Roman" w:cs="Times New Roman"/>
          <w:sz w:val="24"/>
          <w:szCs w:val="24"/>
        </w:rPr>
        <w:t xml:space="preserve">При необходимости следует начать пероральную антикоагулянтную терапию. </w:t>
      </w:r>
    </w:p>
    <w:p w14:paraId="1DD4355C" w14:textId="05F77B15" w:rsidR="00EF4764" w:rsidRPr="006C4A45" w:rsidRDefault="00EF4764" w:rsidP="00EF4764">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При длительном лечении тромбоза глубоких вен (ТГВ) и тромбоэмболии легочной артерии (ТЭЛА) и профилактике их рецидивов у пациентов с активной онкологической патологией врачи должны тщательно оценивать индивидуальные тромбоэмболические и кровоточащие риски пациента.</w:t>
      </w:r>
    </w:p>
    <w:p w14:paraId="00183AF5" w14:textId="710FCB4F" w:rsidR="00EF4764" w:rsidRPr="006C4A45" w:rsidRDefault="00EF4764" w:rsidP="00EF4764">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Рекомендуемая доза составляет 100 МЕ/кг (1 мг/кг), вводимых дважды в день путем СК инъекций в течение 5 - 10 дней, затем 150 МЕ/кг (1,5 мг/кг) один раз в день СК инъекциями до 6 месяцев. После 6 месяцев лечения следует пересмотреть пользу от непрерывной антикоагулянтной терапии.</w:t>
      </w:r>
    </w:p>
    <w:p w14:paraId="45087A5C"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 xml:space="preserve">Профилактика тромбообразования во время гемодиализа </w:t>
      </w:r>
    </w:p>
    <w:p w14:paraId="714AFABA"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Рекомендуемая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составляет 100 МЕ/кг (1 мг/кг). У </w:t>
      </w:r>
      <w:proofErr w:type="spellStart"/>
      <w:r w:rsidRPr="006C4A45">
        <w:rPr>
          <w:rFonts w:ascii="Times New Roman" w:hAnsi="Times New Roman" w:cs="Times New Roman"/>
          <w:sz w:val="24"/>
          <w:szCs w:val="24"/>
        </w:rPr>
        <w:t>гемодиализных</w:t>
      </w:r>
      <w:proofErr w:type="spellEnd"/>
      <w:r w:rsidRPr="006C4A45">
        <w:rPr>
          <w:rFonts w:ascii="Times New Roman" w:hAnsi="Times New Roman" w:cs="Times New Roman"/>
          <w:sz w:val="24"/>
          <w:szCs w:val="24"/>
        </w:rPr>
        <w:t xml:space="preserve"> пациентов с высоким риском развития кровотечения доза должна быть снижена до 50 МЕ/кг (0.5 мг/кг) (двойной сосудистый доступ) либо 75 МЕ/кг (0.75 мг/кг) (</w:t>
      </w:r>
      <w:proofErr w:type="spellStart"/>
      <w:r w:rsidRPr="006C4A45">
        <w:rPr>
          <w:rFonts w:ascii="Times New Roman" w:hAnsi="Times New Roman" w:cs="Times New Roman"/>
          <w:sz w:val="24"/>
          <w:szCs w:val="24"/>
        </w:rPr>
        <w:t>однососудистый</w:t>
      </w:r>
      <w:proofErr w:type="spellEnd"/>
      <w:r w:rsidRPr="006C4A45">
        <w:rPr>
          <w:rFonts w:ascii="Times New Roman" w:hAnsi="Times New Roman" w:cs="Times New Roman"/>
          <w:sz w:val="24"/>
          <w:szCs w:val="24"/>
        </w:rPr>
        <w:t xml:space="preserve"> доступ).</w:t>
      </w:r>
    </w:p>
    <w:p w14:paraId="6481B392"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Во время гемодиализа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вводят в артериальную линию диализного контура в начале сеанса диализа. Обычно эта доза эффективна только для </w:t>
      </w:r>
      <w:proofErr w:type="spellStart"/>
      <w:r w:rsidRPr="006C4A45">
        <w:rPr>
          <w:rFonts w:ascii="Times New Roman" w:hAnsi="Times New Roman" w:cs="Times New Roman"/>
          <w:sz w:val="24"/>
          <w:szCs w:val="24"/>
        </w:rPr>
        <w:t>гемодиализных</w:t>
      </w:r>
      <w:proofErr w:type="spellEnd"/>
      <w:r w:rsidRPr="006C4A45">
        <w:rPr>
          <w:rFonts w:ascii="Times New Roman" w:hAnsi="Times New Roman" w:cs="Times New Roman"/>
          <w:sz w:val="24"/>
          <w:szCs w:val="24"/>
        </w:rPr>
        <w:t xml:space="preserve"> сеансов длительностью 4 часа. Однако при выявлении фибриновых колец, например, после сеанса длиннее обычного, можно назначить еще дозу 50-100 МЕ/кг (0.5-1 мг/кг). По пациентам, применявшим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для профилактики или лечения и во время сессий гемодиализа, данных нет.</w:t>
      </w:r>
    </w:p>
    <w:p w14:paraId="2ADD9C68"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
          <w:sz w:val="24"/>
          <w:szCs w:val="24"/>
        </w:rPr>
        <w:t>Острый коронарный синдром: лечение нестабильной стенокардии и инфаркта миокарда без подъема сегмента ST</w:t>
      </w:r>
    </w:p>
    <w:p w14:paraId="12C60E70"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bCs/>
          <w:sz w:val="24"/>
          <w:szCs w:val="24"/>
        </w:rPr>
        <w:t>Для лечения нестабильной стенокардии</w:t>
      </w:r>
      <w:r w:rsidRPr="006C4A45">
        <w:rPr>
          <w:rFonts w:ascii="Times New Roman" w:hAnsi="Times New Roman" w:cs="Times New Roman"/>
          <w:sz w:val="24"/>
          <w:szCs w:val="24"/>
        </w:rPr>
        <w:t xml:space="preserve"> </w:t>
      </w:r>
      <w:r w:rsidRPr="006C4A45">
        <w:rPr>
          <w:rFonts w:ascii="Times New Roman" w:hAnsi="Times New Roman" w:cs="Times New Roman"/>
          <w:bCs/>
          <w:sz w:val="24"/>
          <w:szCs w:val="24"/>
        </w:rPr>
        <w:t>и инфаркта миокарда без подъема сегмента ST</w:t>
      </w:r>
      <w:r w:rsidRPr="006C4A45">
        <w:rPr>
          <w:rFonts w:ascii="Times New Roman" w:hAnsi="Times New Roman" w:cs="Times New Roman"/>
          <w:sz w:val="24"/>
          <w:szCs w:val="24"/>
        </w:rPr>
        <w:t xml:space="preserve"> рекомендуемая доза составляет 100 МЕ/кг (1 мг/кг)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которая вводится подкожно два раза в сутки с 12-ти часовым интервалом в комбинации с </w:t>
      </w:r>
      <w:proofErr w:type="spellStart"/>
      <w:r w:rsidRPr="006C4A45">
        <w:rPr>
          <w:rFonts w:ascii="Times New Roman" w:hAnsi="Times New Roman" w:cs="Times New Roman"/>
          <w:sz w:val="24"/>
          <w:szCs w:val="24"/>
        </w:rPr>
        <w:t>антитромбоцитарной</w:t>
      </w:r>
      <w:proofErr w:type="spellEnd"/>
      <w:r w:rsidRPr="006C4A45">
        <w:rPr>
          <w:rFonts w:ascii="Times New Roman" w:hAnsi="Times New Roman" w:cs="Times New Roman"/>
          <w:sz w:val="24"/>
          <w:szCs w:val="24"/>
        </w:rPr>
        <w:t xml:space="preserve"> терапией.</w:t>
      </w:r>
    </w:p>
    <w:p w14:paraId="53248B32"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Лечение следует поддерживать в течение минимум 2 суток и продолжать до клинической стабилизации. Рекомендуемая продолжительность терапии от 2 до 8 дней. </w:t>
      </w:r>
    </w:p>
    <w:p w14:paraId="3BFCD2F5" w14:textId="28AEDE4A"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Всем пациентам без противопоказаний рекомендуется начать лечение ацетилсалициловой кислотой в начальной пероральной насыщающей дозе 150-300 мг (у пациентов, ранее не получавших ацетилсалициловую кислоту) и поддерживающей дозе 75-325 мг в день долгосрочно, независимо от стратегии лечения.</w:t>
      </w:r>
    </w:p>
    <w:p w14:paraId="56840FD1" w14:textId="06EF60C1" w:rsidR="00BB47A1" w:rsidRPr="006C4A45" w:rsidRDefault="00BB47A1" w:rsidP="00BB47A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Дозировка для пациентов в возрасте ≥ 75 лет указана в </w:t>
      </w:r>
      <w:r w:rsidR="004365DB" w:rsidRPr="006C4A45">
        <w:rPr>
          <w:rFonts w:ascii="Times New Roman" w:hAnsi="Times New Roman" w:cs="Times New Roman"/>
          <w:sz w:val="24"/>
          <w:szCs w:val="24"/>
        </w:rPr>
        <w:t>пункте</w:t>
      </w:r>
      <w:r w:rsidRPr="006C4A45">
        <w:rPr>
          <w:rFonts w:ascii="Times New Roman" w:hAnsi="Times New Roman" w:cs="Times New Roman"/>
          <w:sz w:val="24"/>
          <w:szCs w:val="24"/>
        </w:rPr>
        <w:t xml:space="preserve"> «</w:t>
      </w:r>
      <w:r w:rsidR="004365DB" w:rsidRPr="006C4A45">
        <w:rPr>
          <w:rFonts w:ascii="Times New Roman" w:hAnsi="Times New Roman" w:cs="Times New Roman"/>
          <w:sz w:val="24"/>
          <w:szCs w:val="24"/>
        </w:rPr>
        <w:t>Пациенты пожилого возраста</w:t>
      </w:r>
      <w:r w:rsidRPr="006C4A45">
        <w:rPr>
          <w:rFonts w:ascii="Times New Roman" w:hAnsi="Times New Roman" w:cs="Times New Roman"/>
          <w:sz w:val="24"/>
          <w:szCs w:val="24"/>
        </w:rPr>
        <w:t>».</w:t>
      </w:r>
    </w:p>
    <w:p w14:paraId="3E4276AC" w14:textId="3F1B83C4" w:rsidR="00BB47A1" w:rsidRPr="006C4A45" w:rsidRDefault="00BB47A1"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Для пациентов, которым проводится ЧКВ</w:t>
      </w:r>
      <w:r w:rsidR="004365DB" w:rsidRPr="006C4A45">
        <w:rPr>
          <w:rFonts w:ascii="Times New Roman" w:hAnsi="Times New Roman" w:cs="Times New Roman"/>
          <w:sz w:val="24"/>
          <w:szCs w:val="24"/>
        </w:rPr>
        <w:t xml:space="preserve"> (</w:t>
      </w:r>
      <w:proofErr w:type="spellStart"/>
      <w:r w:rsidR="004365DB" w:rsidRPr="006C4A45">
        <w:rPr>
          <w:rFonts w:ascii="Times New Roman" w:hAnsi="Times New Roman" w:cs="Times New Roman"/>
          <w:sz w:val="24"/>
          <w:szCs w:val="24"/>
        </w:rPr>
        <w:t>Чрескожное</w:t>
      </w:r>
      <w:proofErr w:type="spellEnd"/>
      <w:r w:rsidR="004365DB" w:rsidRPr="006C4A45">
        <w:rPr>
          <w:rFonts w:ascii="Times New Roman" w:hAnsi="Times New Roman" w:cs="Times New Roman"/>
          <w:sz w:val="24"/>
          <w:szCs w:val="24"/>
        </w:rPr>
        <w:t xml:space="preserve"> коронарное вмешательство)</w:t>
      </w:r>
      <w:r w:rsidRPr="006C4A45">
        <w:rPr>
          <w:rFonts w:ascii="Times New Roman" w:hAnsi="Times New Roman" w:cs="Times New Roman"/>
          <w:sz w:val="24"/>
          <w:szCs w:val="24"/>
        </w:rPr>
        <w:t xml:space="preserve">, если последняя доза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подкожно была введена менее чем за 8 часов до надувания баллона, дополнительная дозировка не требуется. Если последняя доза подкожного введения была введена более чем за 8 часов до надувания баллона, следует ввести внутривенный болюс 30 МЕ/кг (0,3 мг/кг)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w:t>
      </w:r>
    </w:p>
    <w:p w14:paraId="6D35DA04"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Применение в педиатрии </w:t>
      </w:r>
    </w:p>
    <w:p w14:paraId="45F9C390"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Безопасность и эффективность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у детей не установлена.</w:t>
      </w:r>
    </w:p>
    <w:p w14:paraId="19D04BBF"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Пациентам пожилого возраста </w:t>
      </w:r>
    </w:p>
    <w:p w14:paraId="66F6AF75" w14:textId="5572945C"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По всем показаниям, кроме инфаркта миокарда с подъемом сегмента </w:t>
      </w:r>
      <w:r w:rsidRPr="006C4A45">
        <w:rPr>
          <w:rFonts w:ascii="Times New Roman" w:hAnsi="Times New Roman" w:cs="Times New Roman"/>
          <w:sz w:val="24"/>
          <w:szCs w:val="24"/>
          <w:lang w:val="en-US"/>
        </w:rPr>
        <w:t>ST</w:t>
      </w:r>
      <w:r w:rsidRPr="006C4A45">
        <w:rPr>
          <w:rFonts w:ascii="Times New Roman" w:hAnsi="Times New Roman" w:cs="Times New Roman"/>
          <w:sz w:val="24"/>
          <w:szCs w:val="24"/>
        </w:rPr>
        <w:t>, нет необходимости в уменьшении дозы у пациентов пожилого возраста, если функция почек не нарушена.</w:t>
      </w:r>
    </w:p>
    <w:p w14:paraId="27B278B9" w14:textId="5BFC038E" w:rsidR="00E73D4C" w:rsidRPr="006C4A45" w:rsidRDefault="00E73D4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Для лечения острого инфаркта миокарда с подъемом сегмента </w:t>
      </w:r>
      <w:r w:rsidRPr="006C4A45">
        <w:rPr>
          <w:rFonts w:ascii="Times New Roman" w:hAnsi="Times New Roman" w:cs="Times New Roman"/>
          <w:sz w:val="24"/>
          <w:szCs w:val="24"/>
          <w:lang w:val="en-US"/>
        </w:rPr>
        <w:t>ST</w:t>
      </w:r>
      <w:r w:rsidRPr="006C4A45">
        <w:rPr>
          <w:rFonts w:ascii="Times New Roman" w:hAnsi="Times New Roman" w:cs="Times New Roman"/>
          <w:sz w:val="24"/>
          <w:szCs w:val="24"/>
        </w:rPr>
        <w:t xml:space="preserve"> у пожилых пациентов в возрасте ≥ 75 лет начальный внутривенный болюс не должен использоваться. Начальная доза должна составлять 75 МЕ/кг (0,75 мг/кг), вводимая подкожно каждые </w:t>
      </w:r>
      <w:r w:rsidRPr="006C4A45">
        <w:rPr>
          <w:rFonts w:ascii="Times New Roman" w:hAnsi="Times New Roman" w:cs="Times New Roman"/>
          <w:sz w:val="24"/>
          <w:szCs w:val="24"/>
        </w:rPr>
        <w:lastRenderedPageBreak/>
        <w:t>12 часов (максимум 7500 МЕ (75 мг) для каждой из первых двух доз подкожно, затем 75 МЕ/кг (0,75 мг/кг) подкожно для оставшихся доз). Дозировку для пациентов пожилого возраста с нарушением функции почек см. ниже в разделе «Нарушение функции почек» и в разделе 4.4.</w:t>
      </w:r>
    </w:p>
    <w:p w14:paraId="20B609E0"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Нарушение функции печени</w:t>
      </w:r>
    </w:p>
    <w:p w14:paraId="02A59F36" w14:textId="6FF4E8A8"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пациентов с нарушением функции печени</w:t>
      </w:r>
      <w:r w:rsidR="00581A6D" w:rsidRPr="006C4A45">
        <w:rPr>
          <w:rFonts w:ascii="Times New Roman" w:hAnsi="Times New Roman" w:cs="Times New Roman"/>
          <w:sz w:val="24"/>
          <w:szCs w:val="24"/>
        </w:rPr>
        <w:t xml:space="preserve"> (см. раздел 5.1 и 5.2)</w:t>
      </w:r>
      <w:r w:rsidRPr="006C4A45">
        <w:rPr>
          <w:rFonts w:ascii="Times New Roman" w:hAnsi="Times New Roman" w:cs="Times New Roman"/>
          <w:sz w:val="24"/>
          <w:szCs w:val="24"/>
        </w:rPr>
        <w:t xml:space="preserve">, данные ограничены, </w:t>
      </w:r>
      <w:r w:rsidR="00E73D4C" w:rsidRPr="006C4A45">
        <w:rPr>
          <w:rFonts w:ascii="Times New Roman" w:hAnsi="Times New Roman" w:cs="Times New Roman"/>
          <w:sz w:val="24"/>
          <w:szCs w:val="24"/>
        </w:rPr>
        <w:t xml:space="preserve">таким пациентам </w:t>
      </w:r>
      <w:r w:rsidRPr="006C4A45">
        <w:rPr>
          <w:rFonts w:ascii="Times New Roman" w:hAnsi="Times New Roman" w:cs="Times New Roman"/>
          <w:sz w:val="24"/>
          <w:szCs w:val="24"/>
        </w:rPr>
        <w:t xml:space="preserve">препарат </w:t>
      </w:r>
      <w:r w:rsidR="00E73D4C" w:rsidRPr="006C4A45">
        <w:rPr>
          <w:rFonts w:ascii="Times New Roman" w:hAnsi="Times New Roman" w:cs="Times New Roman"/>
          <w:sz w:val="24"/>
          <w:szCs w:val="24"/>
        </w:rPr>
        <w:t xml:space="preserve">следует назначать </w:t>
      </w:r>
      <w:r w:rsidRPr="006C4A45">
        <w:rPr>
          <w:rFonts w:ascii="Times New Roman" w:hAnsi="Times New Roman" w:cs="Times New Roman"/>
          <w:sz w:val="24"/>
          <w:szCs w:val="24"/>
        </w:rPr>
        <w:t xml:space="preserve">с осторожностью </w:t>
      </w:r>
      <w:r w:rsidR="00E73D4C" w:rsidRPr="006C4A45">
        <w:rPr>
          <w:rFonts w:ascii="Times New Roman" w:hAnsi="Times New Roman" w:cs="Times New Roman"/>
          <w:sz w:val="24"/>
          <w:szCs w:val="24"/>
        </w:rPr>
        <w:t>(см. раздел 4.4)</w:t>
      </w:r>
      <w:r w:rsidRPr="006C4A45">
        <w:rPr>
          <w:rFonts w:ascii="Times New Roman" w:hAnsi="Times New Roman" w:cs="Times New Roman"/>
          <w:sz w:val="24"/>
          <w:szCs w:val="24"/>
        </w:rPr>
        <w:t>.</w:t>
      </w:r>
    </w:p>
    <w:p w14:paraId="26D97D03"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 xml:space="preserve">Нарушение функции почек </w:t>
      </w:r>
    </w:p>
    <w:p w14:paraId="009D9DE2" w14:textId="77777777" w:rsidR="005A10DC" w:rsidRPr="006C4A45" w:rsidRDefault="005A10DC" w:rsidP="005A10DC">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не рекомендуется пациентам с терминальной стадией болезни почек (клиренс креатинина &lt;15 мл/мин) в связи с отсутствием данных в данной популяции, кроме данных по профилактике тромбообразования при проведении гемодиализа.</w:t>
      </w:r>
    </w:p>
    <w:p w14:paraId="39BE9DA6"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Таблица дозирования препарата для пациентов с тяжелым нарушением функции почек (клиренс креатинина 15-30 мл/мин):</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5A10DC" w:rsidRPr="006C4A45" w14:paraId="40968505" w14:textId="77777777" w:rsidTr="00177591">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60B2CC22" w14:textId="77777777" w:rsidR="005A10DC" w:rsidRPr="006C4A45" w:rsidRDefault="005A10DC" w:rsidP="005A10DC">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Показания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464E300F" w14:textId="77777777" w:rsidR="005A10DC" w:rsidRPr="006C4A45" w:rsidRDefault="005A10DC" w:rsidP="005A10DC">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Режим дозирования</w:t>
            </w:r>
          </w:p>
        </w:tc>
      </w:tr>
      <w:tr w:rsidR="005A10DC" w:rsidRPr="006C4A45" w14:paraId="185FDE7E"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979D4ED"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Профилактика венозной тромбоэмболической болезни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1EA6636"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2 000 МЕ (20 мг) подкожно один раз в сутки</w:t>
            </w:r>
          </w:p>
        </w:tc>
      </w:tr>
      <w:tr w:rsidR="005A10DC" w:rsidRPr="006C4A45" w14:paraId="31583FF7"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0E73615"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тромбоза глубоких вен и тромбоэмболии лёгочной артерии</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11297D9"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ED6572" w:rsidRPr="006C4A45" w14:paraId="6CC95283"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0869B19" w14:textId="673EEE63" w:rsidR="004B5DDA" w:rsidRPr="006C4A45" w:rsidRDefault="004B5DDA" w:rsidP="004B5DDA">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Длительное лечение тромбоза глубоких вен (ТГВ) и тромбоэмболии легочной артерии (ТЭЛА) и профилактика их рецидивов у пациентов с активным</w:t>
            </w:r>
          </w:p>
          <w:p w14:paraId="2DD36A2A" w14:textId="16F8CEBF" w:rsidR="00ED6572" w:rsidRPr="006C4A45" w:rsidRDefault="004B5DDA" w:rsidP="004B5DDA">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раком</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29C99E9" w14:textId="777918A3"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5A10DC" w:rsidRPr="006C4A45" w14:paraId="67C30CFD"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19AC24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нестабильной стенокардии и инфаркта миокарда без подъёма сегмента ST</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91C8FB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100 МЕ/кг (1 мг/кг) массы тела подкожно один раз в сутки</w:t>
            </w:r>
          </w:p>
        </w:tc>
      </w:tr>
      <w:tr w:rsidR="00B1767D" w:rsidRPr="006C4A45" w14:paraId="77F8E71F" w14:textId="77777777" w:rsidTr="00ED6572">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9296092" w14:textId="74459DC7"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Лечение острого инфаркта миокарда с подъемом сегмента ST (пациенты старше 75 лет)</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136A818E" w14:textId="5652E649" w:rsidR="00ED6572" w:rsidRPr="006C4A45" w:rsidRDefault="00ED6572"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Начальная доза не вводится внутривенно, 100 МЕ/кг (1 мг/кг) массы тела подкожно, затем 100 МЕ/кг (1 мг/кг) массы тела подкожно каждые 24 часа.</w:t>
            </w:r>
          </w:p>
        </w:tc>
      </w:tr>
    </w:tbl>
    <w:p w14:paraId="40D6431E" w14:textId="455963F9" w:rsidR="008F13E3"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Рекомендуемый режим дозирования не относится к случаям гемодиализа. </w:t>
      </w:r>
    </w:p>
    <w:p w14:paraId="76D99D61"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Нарушение функции почек умеренной и легкой степени</w:t>
      </w:r>
    </w:p>
    <w:p w14:paraId="15777705"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sz w:val="24"/>
          <w:szCs w:val="24"/>
        </w:rPr>
        <w:t>Несмотря на то, что корректировки дозы не требуется пациентам с нарушением функции почек умеренной (клиренс креатинина 30-50 мл/мин) и легкой степени (клиренс креатинина 50-80 мл/мин), рекомендовано тщательное клиническое наблюдение.</w:t>
      </w:r>
    </w:p>
    <w:p w14:paraId="231DBA22" w14:textId="77777777" w:rsidR="0031198A"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Способ применения</w:t>
      </w:r>
    </w:p>
    <w:p w14:paraId="467A707C" w14:textId="77777777" w:rsidR="005A10DC" w:rsidRPr="006C4A45" w:rsidRDefault="005A10DC" w:rsidP="005A10DC">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запрещается применять внутримышечно.</w:t>
      </w:r>
    </w:p>
    <w:p w14:paraId="623A1F7C"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профилактики венозной тромбоэмболии после хирургической операции, лечения ТГВ и ТЭЛА, нестабильной стенокардии и инфаркта миокарда без подъёма сегмента ST</w:t>
      </w:r>
      <w:r w:rsidR="009B48E6" w:rsidRPr="006C4A45">
        <w:rPr>
          <w:rFonts w:ascii="Times New Roman" w:hAnsi="Times New Roman" w:cs="Times New Roman"/>
          <w:sz w:val="24"/>
          <w:szCs w:val="24"/>
        </w:rPr>
        <w:t xml:space="preserve">, острого инфаркта миокарда с подъемом сегмента </w:t>
      </w:r>
      <w:r w:rsidR="009B48E6" w:rsidRPr="006C4A45">
        <w:rPr>
          <w:rFonts w:ascii="Times New Roman" w:hAnsi="Times New Roman" w:cs="Times New Roman"/>
          <w:sz w:val="24"/>
          <w:szCs w:val="24"/>
          <w:lang w:val="en-US"/>
        </w:rPr>
        <w:t>ST</w:t>
      </w:r>
      <w:r w:rsidR="009B48E6" w:rsidRPr="006C4A45">
        <w:rPr>
          <w:rFonts w:ascii="Times New Roman" w:hAnsi="Times New Roman" w:cs="Times New Roman"/>
          <w:sz w:val="24"/>
          <w:szCs w:val="24"/>
        </w:rPr>
        <w:t xml:space="preserve"> </w:t>
      </w: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вводится подкожно.</w:t>
      </w:r>
    </w:p>
    <w:p w14:paraId="6AD6BB1A" w14:textId="77777777" w:rsidR="005A10DC" w:rsidRPr="006C4A45" w:rsidRDefault="005A10DC" w:rsidP="005A10DC">
      <w:pPr>
        <w:spacing w:after="0" w:line="240" w:lineRule="auto"/>
        <w:jc w:val="both"/>
        <w:rPr>
          <w:rFonts w:ascii="Times New Roman" w:hAnsi="Times New Roman" w:cs="Times New Roman"/>
          <w:bCs/>
          <w:iCs/>
          <w:sz w:val="24"/>
          <w:szCs w:val="24"/>
        </w:rPr>
      </w:pPr>
      <w:r w:rsidRPr="006C4A45">
        <w:rPr>
          <w:rFonts w:ascii="Times New Roman" w:hAnsi="Times New Roman" w:cs="Times New Roman"/>
          <w:sz w:val="24"/>
          <w:szCs w:val="24"/>
        </w:rPr>
        <w:t xml:space="preserve">Для предотвращения тромбообразования в системе экстракорпорального кровообращения при проведении гемодиализа препарат вводится через артериальную магистраль диализного контура. </w:t>
      </w:r>
    </w:p>
    <w:p w14:paraId="4AD4B33B" w14:textId="77777777" w:rsidR="005A10DC" w:rsidRPr="006C4A45" w:rsidRDefault="005A10DC" w:rsidP="005A10DC">
      <w:pPr>
        <w:spacing w:after="0" w:line="240" w:lineRule="auto"/>
        <w:jc w:val="both"/>
        <w:rPr>
          <w:rFonts w:ascii="Times New Roman" w:hAnsi="Times New Roman" w:cs="Times New Roman"/>
          <w:i/>
          <w:sz w:val="24"/>
          <w:szCs w:val="24"/>
        </w:rPr>
      </w:pPr>
      <w:r w:rsidRPr="006C4A45">
        <w:rPr>
          <w:rFonts w:ascii="Times New Roman" w:hAnsi="Times New Roman" w:cs="Times New Roman"/>
          <w:bCs/>
          <w:iCs/>
          <w:sz w:val="24"/>
          <w:szCs w:val="24"/>
        </w:rPr>
        <w:t>П</w:t>
      </w:r>
      <w:r w:rsidRPr="006C4A45">
        <w:rPr>
          <w:rFonts w:ascii="Times New Roman" w:hAnsi="Times New Roman" w:cs="Times New Roman"/>
          <w:sz w:val="24"/>
          <w:szCs w:val="24"/>
        </w:rPr>
        <w:t>редварительно наполненный одноразовый шприц готов для незамедлительного использования.</w:t>
      </w:r>
      <w:r w:rsidRPr="006C4A45">
        <w:rPr>
          <w:rFonts w:ascii="Times New Roman" w:hAnsi="Times New Roman" w:cs="Times New Roman"/>
          <w:i/>
          <w:sz w:val="24"/>
          <w:szCs w:val="24"/>
        </w:rPr>
        <w:t xml:space="preserve"> </w:t>
      </w:r>
    </w:p>
    <w:p w14:paraId="5CECAFBB" w14:textId="77777777" w:rsidR="005A10DC" w:rsidRPr="006C4A45" w:rsidRDefault="005A10DC" w:rsidP="00B37905">
      <w:pPr>
        <w:spacing w:after="0" w:line="240" w:lineRule="auto"/>
        <w:jc w:val="both"/>
        <w:rPr>
          <w:rFonts w:ascii="Times New Roman" w:hAnsi="Times New Roman" w:cs="Times New Roman"/>
          <w:i/>
          <w:sz w:val="24"/>
          <w:szCs w:val="24"/>
        </w:rPr>
      </w:pPr>
      <w:r w:rsidRPr="006C4A45">
        <w:rPr>
          <w:rFonts w:ascii="Times New Roman" w:hAnsi="Times New Roman" w:cs="Times New Roman"/>
          <w:i/>
          <w:sz w:val="24"/>
          <w:szCs w:val="24"/>
        </w:rPr>
        <w:t>Подкожное введение:</w:t>
      </w:r>
    </w:p>
    <w:p w14:paraId="7F1E75D7" w14:textId="77777777"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инъекцию препарата </w:t>
      </w:r>
      <w:proofErr w:type="spellStart"/>
      <w:r w:rsidRPr="006C4A45">
        <w:rPr>
          <w:rFonts w:ascii="Times New Roman" w:hAnsi="Times New Roman" w:cs="Times New Roman"/>
          <w:sz w:val="24"/>
          <w:szCs w:val="24"/>
        </w:rPr>
        <w:t>Катенокс</w:t>
      </w:r>
      <w:proofErr w:type="spellEnd"/>
      <w:r w:rsidRPr="006C4A45">
        <w:rPr>
          <w:rFonts w:ascii="Times New Roman" w:hAnsi="Times New Roman" w:cs="Times New Roman"/>
          <w:sz w:val="24"/>
          <w:szCs w:val="24"/>
        </w:rPr>
        <w:t xml:space="preserve"> желательно выполнять в положении больного лежа, глубоко подкожно.</w:t>
      </w:r>
    </w:p>
    <w:p w14:paraId="4E9BC24C" w14:textId="21F08CC0"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lastRenderedPageBreak/>
        <w:t xml:space="preserve">В случае использования предварительно наполненных шприцов не следует выпускать воздушный пузырь из шприца перед инъекцией во избежание потери препарата. Обратите внимание, что в некоторых случаях невозможно достичь точной дозы и в таком случае объем округляется до ближайшего деления. </w:t>
      </w:r>
    </w:p>
    <w:p w14:paraId="4879CDED" w14:textId="6C4F56DD" w:rsidR="005A10DC" w:rsidRPr="006C4A45" w:rsidRDefault="005A10DC"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Инъекции вводят попеременно то в левую, то в правую переднебоковую или заднебоковую стенку живота. Всю длину иглы следует ввести перпендикулярно к складке кожи, зажатой между указательным и большим пальцами руки. В течение всей инъекции этот участок кожи должен быть зажат между пальцами. Не следует потирать место инъекции после введения.</w:t>
      </w:r>
    </w:p>
    <w:p w14:paraId="36B9E1EF" w14:textId="3BFD1EDD" w:rsidR="00194A11" w:rsidRPr="006C4A45" w:rsidRDefault="00194A11" w:rsidP="00194A11">
      <w:pPr>
        <w:spacing w:after="0" w:line="240" w:lineRule="auto"/>
        <w:jc w:val="both"/>
        <w:rPr>
          <w:rFonts w:ascii="Times New Roman" w:hAnsi="Times New Roman" w:cs="Times New Roman"/>
          <w:i/>
          <w:iCs/>
          <w:sz w:val="24"/>
          <w:szCs w:val="24"/>
        </w:rPr>
      </w:pPr>
      <w:r w:rsidRPr="006C4A45">
        <w:rPr>
          <w:rFonts w:ascii="Times New Roman" w:hAnsi="Times New Roman" w:cs="Times New Roman"/>
          <w:i/>
          <w:iCs/>
          <w:sz w:val="24"/>
          <w:szCs w:val="24"/>
        </w:rPr>
        <w:t>Дополнительный болюс для ЧКВ, если последнее подкожное введение было проведено более чем за 8 часов до надувания баллона:</w:t>
      </w:r>
    </w:p>
    <w:p w14:paraId="0242698B" w14:textId="196A12AB"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Пациентам, проходящим лечение с помощью ЧКВ, следует ввести дополнительный внутривенный болюс 30 МЕ/кг (0,3 мг/кг), если последнее подкожное введение было проведено более чем за 8 часов до надувания баллона.</w:t>
      </w:r>
    </w:p>
    <w:p w14:paraId="4EE457A5" w14:textId="0BF54D4A"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Для обеспечения точности небольшого объема для инъекции рекомендуется развести препарат до 300 МЕ/мл (3 мг/мл).</w:t>
      </w:r>
    </w:p>
    <w:p w14:paraId="061ACC6A" w14:textId="74E08B94" w:rsidR="00DE3FE2"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Для получения раствора 300 МЕ/мл (3 мг/мл) рекомендуется использовать предварительно заполненный шприц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на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000 МЕ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 мг)</w:t>
      </w:r>
      <w:r w:rsidR="00330111" w:rsidRPr="006C4A45">
        <w:rPr>
          <w:rFonts w:ascii="Times New Roman" w:hAnsi="Times New Roman" w:cs="Times New Roman"/>
          <w:sz w:val="24"/>
          <w:szCs w:val="24"/>
        </w:rPr>
        <w:t xml:space="preserve"> + 2000 МЕ (20 мг), чтобы в сумме получить 6000 МЕ (60 мг)</w:t>
      </w:r>
      <w:r w:rsidRPr="006C4A45">
        <w:rPr>
          <w:rFonts w:ascii="Times New Roman" w:hAnsi="Times New Roman" w:cs="Times New Roman"/>
          <w:sz w:val="24"/>
          <w:szCs w:val="24"/>
        </w:rPr>
        <w:t xml:space="preserve"> и инфузионный пакет на 50 мл (т. е. с использованием либо физиологического раствора (0,9%), либо 5% декстрозы в воде) следующим образом:</w:t>
      </w:r>
    </w:p>
    <w:p w14:paraId="2FF4CFAC" w14:textId="35C29780"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Отберите 30 мл из инфузионного мешка с помощью шприца и вылейте жидкость. Введите все содержимое предварительно заполненн</w:t>
      </w:r>
      <w:r w:rsidR="00330111" w:rsidRPr="006C4A45">
        <w:rPr>
          <w:rFonts w:ascii="Times New Roman" w:hAnsi="Times New Roman" w:cs="Times New Roman"/>
          <w:sz w:val="24"/>
          <w:szCs w:val="24"/>
        </w:rPr>
        <w:t>ых</w:t>
      </w:r>
      <w:r w:rsidRPr="006C4A45">
        <w:rPr>
          <w:rFonts w:ascii="Times New Roman" w:hAnsi="Times New Roman" w:cs="Times New Roman"/>
          <w:sz w:val="24"/>
          <w:szCs w:val="24"/>
        </w:rPr>
        <w:t xml:space="preserve"> шприц</w:t>
      </w:r>
      <w:r w:rsidR="00330111" w:rsidRPr="006C4A45">
        <w:rPr>
          <w:rFonts w:ascii="Times New Roman" w:hAnsi="Times New Roman" w:cs="Times New Roman"/>
          <w:sz w:val="24"/>
          <w:szCs w:val="24"/>
        </w:rPr>
        <w:t>ев</w:t>
      </w:r>
      <w:r w:rsidRPr="006C4A45">
        <w:rPr>
          <w:rFonts w:ascii="Times New Roman" w:hAnsi="Times New Roman" w:cs="Times New Roman"/>
          <w:sz w:val="24"/>
          <w:szCs w:val="24"/>
        </w:rPr>
        <w:t xml:space="preserve">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000 МЕ (</w:t>
      </w:r>
      <w:r w:rsidR="00330111" w:rsidRPr="006C4A45">
        <w:rPr>
          <w:rFonts w:ascii="Times New Roman" w:hAnsi="Times New Roman" w:cs="Times New Roman"/>
          <w:sz w:val="24"/>
          <w:szCs w:val="24"/>
        </w:rPr>
        <w:t>4</w:t>
      </w:r>
      <w:r w:rsidRPr="006C4A45">
        <w:rPr>
          <w:rFonts w:ascii="Times New Roman" w:hAnsi="Times New Roman" w:cs="Times New Roman"/>
          <w:sz w:val="24"/>
          <w:szCs w:val="24"/>
        </w:rPr>
        <w:t>0 мг)</w:t>
      </w:r>
      <w:r w:rsidR="00330111" w:rsidRPr="006C4A45">
        <w:rPr>
          <w:rFonts w:ascii="Times New Roman" w:hAnsi="Times New Roman" w:cs="Times New Roman"/>
          <w:sz w:val="24"/>
          <w:szCs w:val="24"/>
        </w:rPr>
        <w:t xml:space="preserve"> + 2000 МЕ (20 мг)</w:t>
      </w:r>
      <w:r w:rsidRPr="006C4A45">
        <w:rPr>
          <w:rFonts w:ascii="Times New Roman" w:hAnsi="Times New Roman" w:cs="Times New Roman"/>
          <w:sz w:val="24"/>
          <w:szCs w:val="24"/>
        </w:rPr>
        <w:t xml:space="preserve">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в оставшиеся 20 мл в мешке. Осторожно перемешайте содержимое мешка. Отберите необходимый объем разведенного раствора с помощью шприца для введения в капельницу.</w:t>
      </w:r>
    </w:p>
    <w:p w14:paraId="08584F6C" w14:textId="5EDB52A4" w:rsidR="00194A11" w:rsidRPr="006C4A45" w:rsidRDefault="00194A11" w:rsidP="00194A1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После завершения разведения объем для инъекции можно рассчитать по следующей формуле [Объем разведенного раствора (мл) = Вес пациента (кг) x 0,1] или с помощью приведенной ниже таблицы. Рекомендуется готовить разведение непосредственно перед использованием.</w:t>
      </w:r>
    </w:p>
    <w:p w14:paraId="5958CF3C" w14:textId="4FA5F6D8" w:rsidR="00194A11" w:rsidRPr="006C4A45" w:rsidRDefault="00194A11" w:rsidP="005A10DC">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Объем для инъекции через капельницу после завершения разведения в концентрации 300 МЕ (3 мг)/мл.</w:t>
      </w:r>
    </w:p>
    <w:tbl>
      <w:tblPr>
        <w:tblStyle w:val="aa"/>
        <w:tblW w:w="0" w:type="auto"/>
        <w:tblLook w:val="04A0" w:firstRow="1" w:lastRow="0" w:firstColumn="1" w:lastColumn="0" w:noHBand="0" w:noVBand="1"/>
      </w:tblPr>
      <w:tblGrid>
        <w:gridCol w:w="1384"/>
        <w:gridCol w:w="1701"/>
        <w:gridCol w:w="1701"/>
        <w:gridCol w:w="4501"/>
      </w:tblGrid>
      <w:tr w:rsidR="00857F92" w:rsidRPr="006C4A45" w14:paraId="7CF5A657" w14:textId="77777777" w:rsidTr="00BE512A">
        <w:tc>
          <w:tcPr>
            <w:tcW w:w="1384" w:type="dxa"/>
          </w:tcPr>
          <w:p w14:paraId="4C597958" w14:textId="0D61F2D8"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Масса</w:t>
            </w:r>
          </w:p>
        </w:tc>
        <w:tc>
          <w:tcPr>
            <w:tcW w:w="3402" w:type="dxa"/>
            <w:gridSpan w:val="2"/>
          </w:tcPr>
          <w:p w14:paraId="7659BC1D" w14:textId="77777777"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Требуемая доза</w:t>
            </w:r>
          </w:p>
          <w:p w14:paraId="1824A188" w14:textId="6B928AA9"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30 МЕ/кг (0.3 мг/кг)</w:t>
            </w:r>
          </w:p>
        </w:tc>
        <w:tc>
          <w:tcPr>
            <w:tcW w:w="4501" w:type="dxa"/>
          </w:tcPr>
          <w:p w14:paraId="50558C56" w14:textId="5D16BB2B" w:rsidR="00857F92" w:rsidRPr="006C4A45" w:rsidRDefault="00857F92" w:rsidP="005A10DC">
            <w:pPr>
              <w:spacing w:after="0" w:line="240" w:lineRule="auto"/>
              <w:jc w:val="both"/>
              <w:rPr>
                <w:rFonts w:ascii="Times New Roman" w:hAnsi="Times New Roman"/>
                <w:b/>
                <w:bCs/>
                <w:sz w:val="24"/>
                <w:szCs w:val="24"/>
              </w:rPr>
            </w:pPr>
            <w:r w:rsidRPr="006C4A45">
              <w:rPr>
                <w:rFonts w:ascii="Times New Roman" w:hAnsi="Times New Roman"/>
                <w:b/>
                <w:bCs/>
                <w:sz w:val="24"/>
                <w:szCs w:val="24"/>
              </w:rPr>
              <w:t>Объем для инъекции при разведении до конечной концентрации 300 МЕ (3 мг)/мл</w:t>
            </w:r>
          </w:p>
        </w:tc>
      </w:tr>
      <w:tr w:rsidR="00857F92" w:rsidRPr="006C4A45" w14:paraId="4AB315FB" w14:textId="77777777" w:rsidTr="00857F92">
        <w:tc>
          <w:tcPr>
            <w:tcW w:w="1384" w:type="dxa"/>
          </w:tcPr>
          <w:p w14:paraId="76FB5568" w14:textId="41E55C4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кг</w:t>
            </w:r>
          </w:p>
        </w:tc>
        <w:tc>
          <w:tcPr>
            <w:tcW w:w="1701" w:type="dxa"/>
          </w:tcPr>
          <w:p w14:paraId="23087616" w14:textId="1065AD8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МЕ</w:t>
            </w:r>
          </w:p>
        </w:tc>
        <w:tc>
          <w:tcPr>
            <w:tcW w:w="1701" w:type="dxa"/>
          </w:tcPr>
          <w:p w14:paraId="16A6F4D9" w14:textId="693B25A0"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w:t>
            </w:r>
            <w:r w:rsidRPr="006C4A45">
              <w:rPr>
                <w:rFonts w:ascii="Times New Roman" w:hAnsi="Times New Roman"/>
                <w:sz w:val="24"/>
                <w:szCs w:val="24"/>
              </w:rPr>
              <w:t>мг</w:t>
            </w:r>
            <w:r w:rsidRPr="006C4A45">
              <w:rPr>
                <w:rFonts w:ascii="Times New Roman" w:hAnsi="Times New Roman"/>
                <w:sz w:val="24"/>
                <w:szCs w:val="24"/>
                <w:lang w:val="en-US"/>
              </w:rPr>
              <w:t>]</w:t>
            </w:r>
          </w:p>
        </w:tc>
        <w:tc>
          <w:tcPr>
            <w:tcW w:w="4501" w:type="dxa"/>
          </w:tcPr>
          <w:p w14:paraId="1E0BEDEB" w14:textId="3812A89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w:t>
            </w:r>
            <w:r w:rsidRPr="006C4A45">
              <w:rPr>
                <w:rFonts w:ascii="Times New Roman" w:hAnsi="Times New Roman"/>
                <w:sz w:val="24"/>
                <w:szCs w:val="24"/>
              </w:rPr>
              <w:t>мл</w:t>
            </w:r>
            <w:r w:rsidRPr="006C4A45">
              <w:rPr>
                <w:rFonts w:ascii="Times New Roman" w:hAnsi="Times New Roman"/>
                <w:sz w:val="24"/>
                <w:szCs w:val="24"/>
                <w:lang w:val="en-US"/>
              </w:rPr>
              <w:t>]</w:t>
            </w:r>
          </w:p>
        </w:tc>
      </w:tr>
      <w:tr w:rsidR="00857F92" w:rsidRPr="006C4A45" w14:paraId="23132BC3" w14:textId="77777777" w:rsidTr="00857F92">
        <w:tc>
          <w:tcPr>
            <w:tcW w:w="1384" w:type="dxa"/>
          </w:tcPr>
          <w:p w14:paraId="535F0E35" w14:textId="2645E17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c>
          <w:tcPr>
            <w:tcW w:w="1701" w:type="dxa"/>
          </w:tcPr>
          <w:p w14:paraId="00B0E0CC" w14:textId="5FA79228"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1350</w:t>
            </w:r>
          </w:p>
        </w:tc>
        <w:tc>
          <w:tcPr>
            <w:tcW w:w="1701" w:type="dxa"/>
          </w:tcPr>
          <w:p w14:paraId="1CACA7E9" w14:textId="107EF0C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w:t>
            </w:r>
          </w:p>
        </w:tc>
        <w:tc>
          <w:tcPr>
            <w:tcW w:w="4501" w:type="dxa"/>
          </w:tcPr>
          <w:p w14:paraId="26B25928" w14:textId="4506F4F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r>
      <w:tr w:rsidR="00857F92" w:rsidRPr="006C4A45" w14:paraId="4C6E6B45" w14:textId="77777777" w:rsidTr="00857F92">
        <w:tc>
          <w:tcPr>
            <w:tcW w:w="1384" w:type="dxa"/>
          </w:tcPr>
          <w:p w14:paraId="318299F7" w14:textId="060FE16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50</w:t>
            </w:r>
          </w:p>
        </w:tc>
        <w:tc>
          <w:tcPr>
            <w:tcW w:w="1701" w:type="dxa"/>
          </w:tcPr>
          <w:p w14:paraId="7A596AD0" w14:textId="3DA9DA3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1500</w:t>
            </w:r>
          </w:p>
        </w:tc>
        <w:tc>
          <w:tcPr>
            <w:tcW w:w="1701" w:type="dxa"/>
          </w:tcPr>
          <w:p w14:paraId="53639A18" w14:textId="4B28BC1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w:t>
            </w:r>
          </w:p>
        </w:tc>
        <w:tc>
          <w:tcPr>
            <w:tcW w:w="4501" w:type="dxa"/>
          </w:tcPr>
          <w:p w14:paraId="2F1B7BF0" w14:textId="36F0E9A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w:t>
            </w:r>
          </w:p>
        </w:tc>
      </w:tr>
      <w:tr w:rsidR="00857F92" w:rsidRPr="006C4A45" w14:paraId="60A8DCCD" w14:textId="77777777" w:rsidTr="00857F92">
        <w:tc>
          <w:tcPr>
            <w:tcW w:w="1384" w:type="dxa"/>
          </w:tcPr>
          <w:p w14:paraId="651C96F0" w14:textId="5947962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55</w:t>
            </w:r>
          </w:p>
        </w:tc>
        <w:tc>
          <w:tcPr>
            <w:tcW w:w="1701" w:type="dxa"/>
          </w:tcPr>
          <w:p w14:paraId="14D76BE0" w14:textId="75787E9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1650</w:t>
            </w:r>
          </w:p>
        </w:tc>
        <w:tc>
          <w:tcPr>
            <w:tcW w:w="1701" w:type="dxa"/>
          </w:tcPr>
          <w:p w14:paraId="27523F6D" w14:textId="4F083AE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16.5</w:t>
            </w:r>
          </w:p>
        </w:tc>
        <w:tc>
          <w:tcPr>
            <w:tcW w:w="4501" w:type="dxa"/>
          </w:tcPr>
          <w:p w14:paraId="19580447" w14:textId="4F402637"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rPr>
              <w:t>5</w:t>
            </w:r>
            <w:r w:rsidRPr="006C4A45">
              <w:rPr>
                <w:rFonts w:ascii="Times New Roman" w:hAnsi="Times New Roman"/>
                <w:sz w:val="24"/>
                <w:szCs w:val="24"/>
                <w:lang w:val="en-US"/>
              </w:rPr>
              <w:t>.5</w:t>
            </w:r>
          </w:p>
        </w:tc>
      </w:tr>
      <w:tr w:rsidR="00857F92" w:rsidRPr="006C4A45" w14:paraId="44BA2ACD" w14:textId="77777777" w:rsidTr="00857F92">
        <w:tc>
          <w:tcPr>
            <w:tcW w:w="1384" w:type="dxa"/>
          </w:tcPr>
          <w:p w14:paraId="6178C121" w14:textId="6E9BDF8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60</w:t>
            </w:r>
          </w:p>
        </w:tc>
        <w:tc>
          <w:tcPr>
            <w:tcW w:w="1701" w:type="dxa"/>
          </w:tcPr>
          <w:p w14:paraId="709601B3" w14:textId="0160B0A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1800</w:t>
            </w:r>
          </w:p>
        </w:tc>
        <w:tc>
          <w:tcPr>
            <w:tcW w:w="1701" w:type="dxa"/>
          </w:tcPr>
          <w:p w14:paraId="45CC33C0" w14:textId="725B906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18</w:t>
            </w:r>
          </w:p>
        </w:tc>
        <w:tc>
          <w:tcPr>
            <w:tcW w:w="4501" w:type="dxa"/>
          </w:tcPr>
          <w:p w14:paraId="45EA332D" w14:textId="6B06E60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6</w:t>
            </w:r>
          </w:p>
        </w:tc>
      </w:tr>
      <w:tr w:rsidR="00857F92" w:rsidRPr="006C4A45" w14:paraId="46E7FB28" w14:textId="77777777" w:rsidTr="00857F92">
        <w:tc>
          <w:tcPr>
            <w:tcW w:w="1384" w:type="dxa"/>
          </w:tcPr>
          <w:p w14:paraId="0485F078" w14:textId="13B8849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65</w:t>
            </w:r>
          </w:p>
        </w:tc>
        <w:tc>
          <w:tcPr>
            <w:tcW w:w="1701" w:type="dxa"/>
          </w:tcPr>
          <w:p w14:paraId="2166CEE3" w14:textId="0D699F8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1950</w:t>
            </w:r>
          </w:p>
        </w:tc>
        <w:tc>
          <w:tcPr>
            <w:tcW w:w="1701" w:type="dxa"/>
          </w:tcPr>
          <w:p w14:paraId="001BA326" w14:textId="7E20DB1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19.5</w:t>
            </w:r>
          </w:p>
        </w:tc>
        <w:tc>
          <w:tcPr>
            <w:tcW w:w="4501" w:type="dxa"/>
          </w:tcPr>
          <w:p w14:paraId="3F4EA3A0" w14:textId="1ED9992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6.5</w:t>
            </w:r>
          </w:p>
        </w:tc>
      </w:tr>
      <w:tr w:rsidR="00857F92" w:rsidRPr="006C4A45" w14:paraId="15832D4B" w14:textId="77777777" w:rsidTr="00857F92">
        <w:tc>
          <w:tcPr>
            <w:tcW w:w="1384" w:type="dxa"/>
          </w:tcPr>
          <w:p w14:paraId="68A51394" w14:textId="55D7790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70</w:t>
            </w:r>
          </w:p>
        </w:tc>
        <w:tc>
          <w:tcPr>
            <w:tcW w:w="1701" w:type="dxa"/>
          </w:tcPr>
          <w:p w14:paraId="1FED0097" w14:textId="3B3C129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2100</w:t>
            </w:r>
          </w:p>
        </w:tc>
        <w:tc>
          <w:tcPr>
            <w:tcW w:w="1701" w:type="dxa"/>
          </w:tcPr>
          <w:p w14:paraId="623C62F1" w14:textId="21A53AC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21</w:t>
            </w:r>
          </w:p>
        </w:tc>
        <w:tc>
          <w:tcPr>
            <w:tcW w:w="4501" w:type="dxa"/>
          </w:tcPr>
          <w:p w14:paraId="41AC9955" w14:textId="1CD67425"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7</w:t>
            </w:r>
          </w:p>
        </w:tc>
      </w:tr>
      <w:tr w:rsidR="00857F92" w:rsidRPr="006C4A45" w14:paraId="487868EE" w14:textId="77777777" w:rsidTr="00857F92">
        <w:tc>
          <w:tcPr>
            <w:tcW w:w="1384" w:type="dxa"/>
          </w:tcPr>
          <w:p w14:paraId="1CB85EF2" w14:textId="6C37DC4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75</w:t>
            </w:r>
          </w:p>
        </w:tc>
        <w:tc>
          <w:tcPr>
            <w:tcW w:w="1701" w:type="dxa"/>
          </w:tcPr>
          <w:p w14:paraId="681F2D0C" w14:textId="4F8381C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2250</w:t>
            </w:r>
          </w:p>
        </w:tc>
        <w:tc>
          <w:tcPr>
            <w:tcW w:w="1701" w:type="dxa"/>
          </w:tcPr>
          <w:p w14:paraId="0F101BF9" w14:textId="67520CD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22.5</w:t>
            </w:r>
          </w:p>
        </w:tc>
        <w:tc>
          <w:tcPr>
            <w:tcW w:w="4501" w:type="dxa"/>
          </w:tcPr>
          <w:p w14:paraId="780DE789" w14:textId="6B864D8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7.5</w:t>
            </w:r>
          </w:p>
        </w:tc>
      </w:tr>
      <w:tr w:rsidR="00857F92" w:rsidRPr="006C4A45" w14:paraId="4E47B084" w14:textId="77777777" w:rsidTr="00857F92">
        <w:tc>
          <w:tcPr>
            <w:tcW w:w="1384" w:type="dxa"/>
          </w:tcPr>
          <w:p w14:paraId="7D0EB018" w14:textId="6941447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80</w:t>
            </w:r>
          </w:p>
        </w:tc>
        <w:tc>
          <w:tcPr>
            <w:tcW w:w="1701" w:type="dxa"/>
          </w:tcPr>
          <w:p w14:paraId="37869429" w14:textId="6FC67BD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2400</w:t>
            </w:r>
          </w:p>
        </w:tc>
        <w:tc>
          <w:tcPr>
            <w:tcW w:w="1701" w:type="dxa"/>
          </w:tcPr>
          <w:p w14:paraId="40EEC415" w14:textId="4CD7B0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24</w:t>
            </w:r>
          </w:p>
        </w:tc>
        <w:tc>
          <w:tcPr>
            <w:tcW w:w="4501" w:type="dxa"/>
          </w:tcPr>
          <w:p w14:paraId="22E535A5" w14:textId="1A5A3554"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8</w:t>
            </w:r>
          </w:p>
        </w:tc>
      </w:tr>
      <w:tr w:rsidR="00857F92" w:rsidRPr="006C4A45" w14:paraId="3AC93A8D" w14:textId="77777777" w:rsidTr="00857F92">
        <w:tc>
          <w:tcPr>
            <w:tcW w:w="1384" w:type="dxa"/>
          </w:tcPr>
          <w:p w14:paraId="4316220A" w14:textId="1BBBCCC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85</w:t>
            </w:r>
          </w:p>
        </w:tc>
        <w:tc>
          <w:tcPr>
            <w:tcW w:w="1701" w:type="dxa"/>
          </w:tcPr>
          <w:p w14:paraId="4324A9A8" w14:textId="2144A09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2550</w:t>
            </w:r>
          </w:p>
        </w:tc>
        <w:tc>
          <w:tcPr>
            <w:tcW w:w="1701" w:type="dxa"/>
          </w:tcPr>
          <w:p w14:paraId="708D6B91" w14:textId="4BD16C5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25.5</w:t>
            </w:r>
          </w:p>
        </w:tc>
        <w:tc>
          <w:tcPr>
            <w:tcW w:w="4501" w:type="dxa"/>
          </w:tcPr>
          <w:p w14:paraId="7C649C33" w14:textId="1EFD344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8.5</w:t>
            </w:r>
          </w:p>
        </w:tc>
      </w:tr>
      <w:tr w:rsidR="00857F92" w:rsidRPr="006C4A45" w14:paraId="20C9399A" w14:textId="77777777" w:rsidTr="00857F92">
        <w:tc>
          <w:tcPr>
            <w:tcW w:w="1384" w:type="dxa"/>
          </w:tcPr>
          <w:p w14:paraId="4560054E" w14:textId="61F24A3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90</w:t>
            </w:r>
          </w:p>
        </w:tc>
        <w:tc>
          <w:tcPr>
            <w:tcW w:w="1701" w:type="dxa"/>
          </w:tcPr>
          <w:p w14:paraId="0FB8570F" w14:textId="7C91AB56"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2700</w:t>
            </w:r>
          </w:p>
        </w:tc>
        <w:tc>
          <w:tcPr>
            <w:tcW w:w="1701" w:type="dxa"/>
          </w:tcPr>
          <w:p w14:paraId="2DF09199" w14:textId="0A47E7D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27</w:t>
            </w:r>
          </w:p>
        </w:tc>
        <w:tc>
          <w:tcPr>
            <w:tcW w:w="4501" w:type="dxa"/>
          </w:tcPr>
          <w:p w14:paraId="010E6870" w14:textId="72CC628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9</w:t>
            </w:r>
          </w:p>
        </w:tc>
      </w:tr>
      <w:tr w:rsidR="00857F92" w:rsidRPr="006C4A45" w14:paraId="7E251AA8" w14:textId="77777777" w:rsidTr="00857F92">
        <w:tc>
          <w:tcPr>
            <w:tcW w:w="1384" w:type="dxa"/>
          </w:tcPr>
          <w:p w14:paraId="01A1C75E" w14:textId="05B20D8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95</w:t>
            </w:r>
          </w:p>
        </w:tc>
        <w:tc>
          <w:tcPr>
            <w:tcW w:w="1701" w:type="dxa"/>
          </w:tcPr>
          <w:p w14:paraId="366A0D22" w14:textId="7A754DB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2850</w:t>
            </w:r>
          </w:p>
        </w:tc>
        <w:tc>
          <w:tcPr>
            <w:tcW w:w="1701" w:type="dxa"/>
          </w:tcPr>
          <w:p w14:paraId="1D869CBC" w14:textId="56436B4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28.5</w:t>
            </w:r>
          </w:p>
        </w:tc>
        <w:tc>
          <w:tcPr>
            <w:tcW w:w="4501" w:type="dxa"/>
          </w:tcPr>
          <w:p w14:paraId="50378CE5" w14:textId="3623DAEC"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9.5</w:t>
            </w:r>
          </w:p>
        </w:tc>
      </w:tr>
      <w:tr w:rsidR="00857F92" w:rsidRPr="006C4A45" w14:paraId="44485676" w14:textId="77777777" w:rsidTr="00857F92">
        <w:trPr>
          <w:trHeight w:val="279"/>
        </w:trPr>
        <w:tc>
          <w:tcPr>
            <w:tcW w:w="1384" w:type="dxa"/>
          </w:tcPr>
          <w:p w14:paraId="735BE307" w14:textId="430D96A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100</w:t>
            </w:r>
          </w:p>
        </w:tc>
        <w:tc>
          <w:tcPr>
            <w:tcW w:w="1701" w:type="dxa"/>
          </w:tcPr>
          <w:p w14:paraId="27216C25" w14:textId="1B8B15D6" w:rsidR="00857F92" w:rsidRPr="006C4A45" w:rsidRDefault="00857F92" w:rsidP="00857F92">
            <w:pPr>
              <w:spacing w:after="0" w:line="240" w:lineRule="auto"/>
              <w:rPr>
                <w:rFonts w:ascii="Times New Roman" w:hAnsi="Times New Roman"/>
                <w:sz w:val="24"/>
                <w:szCs w:val="24"/>
              </w:rPr>
            </w:pPr>
            <w:r w:rsidRPr="006C4A45">
              <w:rPr>
                <w:rFonts w:ascii="Times New Roman" w:hAnsi="Times New Roman"/>
                <w:sz w:val="24"/>
                <w:szCs w:val="24"/>
              </w:rPr>
              <w:t>3000</w:t>
            </w:r>
          </w:p>
        </w:tc>
        <w:tc>
          <w:tcPr>
            <w:tcW w:w="1701" w:type="dxa"/>
          </w:tcPr>
          <w:p w14:paraId="483E90CC" w14:textId="5026448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30</w:t>
            </w:r>
          </w:p>
        </w:tc>
        <w:tc>
          <w:tcPr>
            <w:tcW w:w="4501" w:type="dxa"/>
          </w:tcPr>
          <w:p w14:paraId="2345B548" w14:textId="7C1DA9E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10</w:t>
            </w:r>
          </w:p>
        </w:tc>
      </w:tr>
      <w:tr w:rsidR="00857F92" w:rsidRPr="006C4A45" w14:paraId="0D85050D" w14:textId="77777777" w:rsidTr="00857F92">
        <w:tc>
          <w:tcPr>
            <w:tcW w:w="1384" w:type="dxa"/>
          </w:tcPr>
          <w:p w14:paraId="57C84823" w14:textId="78B80BB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105</w:t>
            </w:r>
          </w:p>
        </w:tc>
        <w:tc>
          <w:tcPr>
            <w:tcW w:w="1701" w:type="dxa"/>
          </w:tcPr>
          <w:p w14:paraId="39843D1C" w14:textId="6323BA8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3150</w:t>
            </w:r>
          </w:p>
        </w:tc>
        <w:tc>
          <w:tcPr>
            <w:tcW w:w="1701" w:type="dxa"/>
          </w:tcPr>
          <w:p w14:paraId="21291F35" w14:textId="2E54207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31.5</w:t>
            </w:r>
          </w:p>
        </w:tc>
        <w:tc>
          <w:tcPr>
            <w:tcW w:w="4501" w:type="dxa"/>
          </w:tcPr>
          <w:p w14:paraId="419F0B65" w14:textId="5D96810B"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10.5</w:t>
            </w:r>
          </w:p>
        </w:tc>
      </w:tr>
      <w:tr w:rsidR="00857F92" w:rsidRPr="006C4A45" w14:paraId="5DC4DD66" w14:textId="77777777" w:rsidTr="00857F92">
        <w:tc>
          <w:tcPr>
            <w:tcW w:w="1384" w:type="dxa"/>
          </w:tcPr>
          <w:p w14:paraId="42885F92" w14:textId="57322E4B"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110</w:t>
            </w:r>
          </w:p>
        </w:tc>
        <w:tc>
          <w:tcPr>
            <w:tcW w:w="1701" w:type="dxa"/>
          </w:tcPr>
          <w:p w14:paraId="04C72DC6" w14:textId="4C4DFCD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3300</w:t>
            </w:r>
          </w:p>
        </w:tc>
        <w:tc>
          <w:tcPr>
            <w:tcW w:w="1701" w:type="dxa"/>
          </w:tcPr>
          <w:p w14:paraId="6833AE37" w14:textId="1ABBEEF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33</w:t>
            </w:r>
          </w:p>
        </w:tc>
        <w:tc>
          <w:tcPr>
            <w:tcW w:w="4501" w:type="dxa"/>
          </w:tcPr>
          <w:p w14:paraId="21AF510B" w14:textId="6904BBF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11</w:t>
            </w:r>
          </w:p>
        </w:tc>
      </w:tr>
      <w:tr w:rsidR="00857F92" w:rsidRPr="006C4A45" w14:paraId="181B06AB" w14:textId="77777777" w:rsidTr="00857F92">
        <w:tc>
          <w:tcPr>
            <w:tcW w:w="1384" w:type="dxa"/>
          </w:tcPr>
          <w:p w14:paraId="2297FE5F" w14:textId="6F7B0FE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115</w:t>
            </w:r>
          </w:p>
        </w:tc>
        <w:tc>
          <w:tcPr>
            <w:tcW w:w="1701" w:type="dxa"/>
          </w:tcPr>
          <w:p w14:paraId="3C06499F" w14:textId="2A77D226"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3450</w:t>
            </w:r>
          </w:p>
        </w:tc>
        <w:tc>
          <w:tcPr>
            <w:tcW w:w="1701" w:type="dxa"/>
          </w:tcPr>
          <w:p w14:paraId="58431AB3" w14:textId="75BFD82F"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34.5</w:t>
            </w:r>
          </w:p>
        </w:tc>
        <w:tc>
          <w:tcPr>
            <w:tcW w:w="4501" w:type="dxa"/>
          </w:tcPr>
          <w:p w14:paraId="216418E0" w14:textId="1C1D27D5"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11.5</w:t>
            </w:r>
          </w:p>
        </w:tc>
      </w:tr>
      <w:tr w:rsidR="00857F92" w:rsidRPr="006C4A45" w14:paraId="4B85610F" w14:textId="77777777" w:rsidTr="00857F92">
        <w:tc>
          <w:tcPr>
            <w:tcW w:w="1384" w:type="dxa"/>
          </w:tcPr>
          <w:p w14:paraId="54D80DF6" w14:textId="26EDA3D7"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120</w:t>
            </w:r>
          </w:p>
        </w:tc>
        <w:tc>
          <w:tcPr>
            <w:tcW w:w="1701" w:type="dxa"/>
          </w:tcPr>
          <w:p w14:paraId="7F9C6EEE" w14:textId="2D1D994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3600</w:t>
            </w:r>
          </w:p>
        </w:tc>
        <w:tc>
          <w:tcPr>
            <w:tcW w:w="1701" w:type="dxa"/>
          </w:tcPr>
          <w:p w14:paraId="2F589520" w14:textId="35806F11"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36</w:t>
            </w:r>
          </w:p>
        </w:tc>
        <w:tc>
          <w:tcPr>
            <w:tcW w:w="4501" w:type="dxa"/>
          </w:tcPr>
          <w:p w14:paraId="745DBF6B" w14:textId="4F0C3F9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12</w:t>
            </w:r>
          </w:p>
        </w:tc>
      </w:tr>
      <w:tr w:rsidR="00857F92" w:rsidRPr="006C4A45" w14:paraId="1CC776FE" w14:textId="77777777" w:rsidTr="00857F92">
        <w:tc>
          <w:tcPr>
            <w:tcW w:w="1384" w:type="dxa"/>
          </w:tcPr>
          <w:p w14:paraId="4481E95A" w14:textId="73618F9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lastRenderedPageBreak/>
              <w:t>125</w:t>
            </w:r>
          </w:p>
        </w:tc>
        <w:tc>
          <w:tcPr>
            <w:tcW w:w="1701" w:type="dxa"/>
          </w:tcPr>
          <w:p w14:paraId="46E1F936" w14:textId="04BBDE6E"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3750</w:t>
            </w:r>
          </w:p>
        </w:tc>
        <w:tc>
          <w:tcPr>
            <w:tcW w:w="1701" w:type="dxa"/>
          </w:tcPr>
          <w:p w14:paraId="66226C73" w14:textId="2D617BB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37.5</w:t>
            </w:r>
          </w:p>
        </w:tc>
        <w:tc>
          <w:tcPr>
            <w:tcW w:w="4501" w:type="dxa"/>
          </w:tcPr>
          <w:p w14:paraId="51A75DD4" w14:textId="5D24B95F"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12.5</w:t>
            </w:r>
          </w:p>
        </w:tc>
      </w:tr>
      <w:tr w:rsidR="00857F92" w:rsidRPr="006C4A45" w14:paraId="783065E8" w14:textId="77777777" w:rsidTr="00857F92">
        <w:tc>
          <w:tcPr>
            <w:tcW w:w="1384" w:type="dxa"/>
          </w:tcPr>
          <w:p w14:paraId="37BB96C3" w14:textId="1B0AF075"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130</w:t>
            </w:r>
          </w:p>
        </w:tc>
        <w:tc>
          <w:tcPr>
            <w:tcW w:w="1701" w:type="dxa"/>
          </w:tcPr>
          <w:p w14:paraId="32939926" w14:textId="379176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3900</w:t>
            </w:r>
          </w:p>
        </w:tc>
        <w:tc>
          <w:tcPr>
            <w:tcW w:w="1701" w:type="dxa"/>
          </w:tcPr>
          <w:p w14:paraId="63670644" w14:textId="5DB03A9A"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39</w:t>
            </w:r>
          </w:p>
        </w:tc>
        <w:tc>
          <w:tcPr>
            <w:tcW w:w="4501" w:type="dxa"/>
          </w:tcPr>
          <w:p w14:paraId="02685924" w14:textId="41966B3A"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13</w:t>
            </w:r>
          </w:p>
        </w:tc>
      </w:tr>
      <w:tr w:rsidR="00857F92" w:rsidRPr="006C4A45" w14:paraId="0736DA13" w14:textId="77777777" w:rsidTr="00857F92">
        <w:tc>
          <w:tcPr>
            <w:tcW w:w="1384" w:type="dxa"/>
          </w:tcPr>
          <w:p w14:paraId="3E39DF83" w14:textId="6A51D0A4"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135</w:t>
            </w:r>
          </w:p>
        </w:tc>
        <w:tc>
          <w:tcPr>
            <w:tcW w:w="1701" w:type="dxa"/>
          </w:tcPr>
          <w:p w14:paraId="4D408C97" w14:textId="79A37C88"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4050</w:t>
            </w:r>
          </w:p>
        </w:tc>
        <w:tc>
          <w:tcPr>
            <w:tcW w:w="1701" w:type="dxa"/>
          </w:tcPr>
          <w:p w14:paraId="405E5B31" w14:textId="214F125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40.5</w:t>
            </w:r>
          </w:p>
        </w:tc>
        <w:tc>
          <w:tcPr>
            <w:tcW w:w="4501" w:type="dxa"/>
          </w:tcPr>
          <w:p w14:paraId="7EDD3493" w14:textId="1A60CEA1"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13.5</w:t>
            </w:r>
          </w:p>
        </w:tc>
      </w:tr>
      <w:tr w:rsidR="00857F92" w:rsidRPr="006C4A45" w14:paraId="5A720A4B" w14:textId="77777777" w:rsidTr="00857F92">
        <w:tc>
          <w:tcPr>
            <w:tcW w:w="1384" w:type="dxa"/>
          </w:tcPr>
          <w:p w14:paraId="26E275C6" w14:textId="5F602432"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140</w:t>
            </w:r>
          </w:p>
        </w:tc>
        <w:tc>
          <w:tcPr>
            <w:tcW w:w="1701" w:type="dxa"/>
          </w:tcPr>
          <w:p w14:paraId="58CD02A5" w14:textId="1CB5FFE9"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4200</w:t>
            </w:r>
          </w:p>
        </w:tc>
        <w:tc>
          <w:tcPr>
            <w:tcW w:w="1701" w:type="dxa"/>
          </w:tcPr>
          <w:p w14:paraId="4BEB6C5A" w14:textId="5411257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42</w:t>
            </w:r>
          </w:p>
        </w:tc>
        <w:tc>
          <w:tcPr>
            <w:tcW w:w="4501" w:type="dxa"/>
          </w:tcPr>
          <w:p w14:paraId="21A88E91" w14:textId="4F69757D"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14</w:t>
            </w:r>
          </w:p>
        </w:tc>
      </w:tr>
      <w:tr w:rsidR="00857F92" w:rsidRPr="006C4A45" w14:paraId="78708B58" w14:textId="77777777" w:rsidTr="00857F92">
        <w:tc>
          <w:tcPr>
            <w:tcW w:w="1384" w:type="dxa"/>
          </w:tcPr>
          <w:p w14:paraId="56E95996" w14:textId="50C7B5DC"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145</w:t>
            </w:r>
          </w:p>
        </w:tc>
        <w:tc>
          <w:tcPr>
            <w:tcW w:w="1701" w:type="dxa"/>
          </w:tcPr>
          <w:p w14:paraId="511EA0DD" w14:textId="61784B7D"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4350</w:t>
            </w:r>
          </w:p>
        </w:tc>
        <w:tc>
          <w:tcPr>
            <w:tcW w:w="1701" w:type="dxa"/>
          </w:tcPr>
          <w:p w14:paraId="1F0E222B" w14:textId="4F1D68E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43.5</w:t>
            </w:r>
          </w:p>
        </w:tc>
        <w:tc>
          <w:tcPr>
            <w:tcW w:w="4501" w:type="dxa"/>
          </w:tcPr>
          <w:p w14:paraId="7C4183F7" w14:textId="5301A11E"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14.5</w:t>
            </w:r>
          </w:p>
        </w:tc>
      </w:tr>
      <w:tr w:rsidR="00857F92" w:rsidRPr="006C4A45" w14:paraId="3F388483" w14:textId="77777777" w:rsidTr="00857F92">
        <w:tc>
          <w:tcPr>
            <w:tcW w:w="1384" w:type="dxa"/>
          </w:tcPr>
          <w:p w14:paraId="3A5FDD35" w14:textId="53582D8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150</w:t>
            </w:r>
          </w:p>
        </w:tc>
        <w:tc>
          <w:tcPr>
            <w:tcW w:w="1701" w:type="dxa"/>
          </w:tcPr>
          <w:p w14:paraId="0AB60FD3" w14:textId="07E95CB0"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4500</w:t>
            </w:r>
          </w:p>
        </w:tc>
        <w:tc>
          <w:tcPr>
            <w:tcW w:w="1701" w:type="dxa"/>
          </w:tcPr>
          <w:p w14:paraId="0589D5C4" w14:textId="15BD9463" w:rsidR="00857F92" w:rsidRPr="006C4A45" w:rsidRDefault="00857F92" w:rsidP="005A10DC">
            <w:pPr>
              <w:spacing w:after="0" w:line="240" w:lineRule="auto"/>
              <w:jc w:val="both"/>
              <w:rPr>
                <w:rFonts w:ascii="Times New Roman" w:hAnsi="Times New Roman"/>
                <w:sz w:val="24"/>
                <w:szCs w:val="24"/>
              </w:rPr>
            </w:pPr>
            <w:r w:rsidRPr="006C4A45">
              <w:rPr>
                <w:rFonts w:ascii="Times New Roman" w:hAnsi="Times New Roman"/>
                <w:sz w:val="24"/>
                <w:szCs w:val="24"/>
              </w:rPr>
              <w:t>45</w:t>
            </w:r>
          </w:p>
        </w:tc>
        <w:tc>
          <w:tcPr>
            <w:tcW w:w="4501" w:type="dxa"/>
          </w:tcPr>
          <w:p w14:paraId="13DA77F4" w14:textId="02E402C0" w:rsidR="00857F92" w:rsidRPr="006C4A45" w:rsidRDefault="00857F92" w:rsidP="005A10DC">
            <w:pPr>
              <w:spacing w:after="0" w:line="240" w:lineRule="auto"/>
              <w:jc w:val="both"/>
              <w:rPr>
                <w:rFonts w:ascii="Times New Roman" w:hAnsi="Times New Roman"/>
                <w:sz w:val="24"/>
                <w:szCs w:val="24"/>
                <w:lang w:val="en-US"/>
              </w:rPr>
            </w:pPr>
            <w:r w:rsidRPr="006C4A45">
              <w:rPr>
                <w:rFonts w:ascii="Times New Roman" w:hAnsi="Times New Roman"/>
                <w:sz w:val="24"/>
                <w:szCs w:val="24"/>
                <w:lang w:val="en-US"/>
              </w:rPr>
              <w:t>15</w:t>
            </w:r>
          </w:p>
        </w:tc>
      </w:tr>
    </w:tbl>
    <w:p w14:paraId="5E7CD64F" w14:textId="23C238B5" w:rsidR="00857F92" w:rsidRPr="006C4A45" w:rsidRDefault="00857F92" w:rsidP="00857F92">
      <w:pPr>
        <w:spacing w:after="0" w:line="240" w:lineRule="auto"/>
        <w:jc w:val="both"/>
        <w:rPr>
          <w:rFonts w:ascii="Times New Roman" w:hAnsi="Times New Roman" w:cs="Times New Roman"/>
          <w:i/>
          <w:iCs/>
          <w:sz w:val="24"/>
          <w:szCs w:val="24"/>
        </w:rPr>
      </w:pPr>
      <w:r w:rsidRPr="006C4A45">
        <w:rPr>
          <w:rFonts w:ascii="Times New Roman" w:hAnsi="Times New Roman" w:cs="Times New Roman"/>
          <w:i/>
          <w:iCs/>
          <w:sz w:val="24"/>
          <w:szCs w:val="24"/>
        </w:rPr>
        <w:t>Инъекция в артериальную линию:</w:t>
      </w:r>
    </w:p>
    <w:p w14:paraId="38B05FD9" w14:textId="4E7E1FCC" w:rsidR="00857F92" w:rsidRPr="006C4A45" w:rsidRDefault="00857F92" w:rsidP="00857F92">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Вводится через артериальную линию диализного контура для предотвращения образования тромбов в экстракорпоральном кровообращении во время гемодиализа.</w:t>
      </w:r>
    </w:p>
    <w:p w14:paraId="03DDE1A8" w14:textId="6B4E713B" w:rsidR="00C076C2" w:rsidRPr="006C4A45" w:rsidRDefault="00C076C2" w:rsidP="00C076C2">
      <w:pPr>
        <w:tabs>
          <w:tab w:val="left" w:pos="567"/>
        </w:tabs>
        <w:spacing w:after="0" w:line="240" w:lineRule="auto"/>
        <w:jc w:val="both"/>
        <w:rPr>
          <w:rFonts w:ascii="Times New Roman" w:eastAsia="Calibri" w:hAnsi="Times New Roman" w:cs="Times New Roman"/>
          <w:i/>
          <w:sz w:val="24"/>
          <w:szCs w:val="24"/>
          <w:u w:val="single"/>
        </w:rPr>
      </w:pPr>
      <w:r w:rsidRPr="006C4A45">
        <w:rPr>
          <w:rFonts w:ascii="Times New Roman" w:eastAsia="Calibri" w:hAnsi="Times New Roman" w:cs="Times New Roman"/>
          <w:i/>
          <w:sz w:val="24"/>
          <w:szCs w:val="24"/>
          <w:u w:val="single"/>
        </w:rPr>
        <w:t xml:space="preserve">Переход от </w:t>
      </w:r>
      <w:proofErr w:type="spellStart"/>
      <w:r w:rsidRPr="006C4A45">
        <w:rPr>
          <w:rFonts w:ascii="Times New Roman" w:eastAsia="Calibri" w:hAnsi="Times New Roman" w:cs="Times New Roman"/>
          <w:i/>
          <w:sz w:val="24"/>
          <w:szCs w:val="24"/>
          <w:u w:val="single"/>
        </w:rPr>
        <w:t>эноксапарина</w:t>
      </w:r>
      <w:proofErr w:type="spellEnd"/>
      <w:r w:rsidRPr="006C4A45">
        <w:rPr>
          <w:rFonts w:ascii="Times New Roman" w:eastAsia="Calibri" w:hAnsi="Times New Roman" w:cs="Times New Roman"/>
          <w:i/>
          <w:sz w:val="24"/>
          <w:szCs w:val="24"/>
          <w:u w:val="single"/>
        </w:rPr>
        <w:t xml:space="preserve"> натрия к пероральным антикоагулянтам </w:t>
      </w:r>
    </w:p>
    <w:p w14:paraId="5EA58CF7" w14:textId="77777777" w:rsidR="008079CC" w:rsidRPr="006C4A45" w:rsidRDefault="00C076C2" w:rsidP="00C076C2">
      <w:pPr>
        <w:tabs>
          <w:tab w:val="left" w:pos="567"/>
        </w:tabs>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 xml:space="preserve">- Переход от </w:t>
      </w:r>
      <w:proofErr w:type="spellStart"/>
      <w:r w:rsidRPr="006C4A45">
        <w:rPr>
          <w:rFonts w:ascii="Times New Roman" w:eastAsia="Calibri" w:hAnsi="Times New Roman" w:cs="Times New Roman"/>
          <w:i/>
          <w:sz w:val="24"/>
          <w:szCs w:val="24"/>
        </w:rPr>
        <w:t>эноксапарина</w:t>
      </w:r>
      <w:proofErr w:type="spellEnd"/>
      <w:r w:rsidRPr="006C4A45">
        <w:rPr>
          <w:rFonts w:ascii="Times New Roman" w:eastAsia="Calibri" w:hAnsi="Times New Roman" w:cs="Times New Roman"/>
          <w:i/>
          <w:sz w:val="24"/>
          <w:szCs w:val="24"/>
        </w:rPr>
        <w:t xml:space="preserve"> натрия к антагонистам витамина K (АВК): </w:t>
      </w:r>
    </w:p>
    <w:p w14:paraId="7226945D" w14:textId="1D4AEE52"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rPr>
        <w:t>клинический мониторинг и лабораторные тесты [</w:t>
      </w:r>
      <w:proofErr w:type="spellStart"/>
      <w:r w:rsidRPr="006C4A45">
        <w:rPr>
          <w:rFonts w:ascii="Times New Roman" w:eastAsia="Calibri" w:hAnsi="Times New Roman" w:cs="Times New Roman"/>
          <w:sz w:val="24"/>
          <w:szCs w:val="24"/>
        </w:rPr>
        <w:t>протромбиновое</w:t>
      </w:r>
      <w:proofErr w:type="spellEnd"/>
      <w:r w:rsidRPr="006C4A45">
        <w:rPr>
          <w:rFonts w:ascii="Times New Roman" w:eastAsia="Calibri" w:hAnsi="Times New Roman" w:cs="Times New Roman"/>
          <w:sz w:val="24"/>
          <w:szCs w:val="24"/>
        </w:rPr>
        <w:t xml:space="preserve"> время, выраженное как Международный Коэффициент Нормализации (МКН)] необходимо усилить для контроля эффекта АВК. Поскольку до достижения АВК своего максимального эффекта проходит какой-то промежуток времени, терапию </w:t>
      </w:r>
      <w:proofErr w:type="spellStart"/>
      <w:r w:rsidRPr="006C4A45">
        <w:rPr>
          <w:rFonts w:ascii="Times New Roman" w:eastAsia="Calibri" w:hAnsi="Times New Roman" w:cs="Times New Roman"/>
          <w:sz w:val="24"/>
          <w:szCs w:val="24"/>
        </w:rPr>
        <w:t>эноксапарином</w:t>
      </w:r>
      <w:proofErr w:type="spellEnd"/>
      <w:r w:rsidRPr="006C4A45">
        <w:rPr>
          <w:rFonts w:ascii="Times New Roman" w:eastAsia="Calibri" w:hAnsi="Times New Roman" w:cs="Times New Roman"/>
          <w:sz w:val="24"/>
          <w:szCs w:val="24"/>
        </w:rPr>
        <w:t xml:space="preserve"> натрия следует продолжать при постоянной дозе столько, сколько необходимо, для поддержания МКН в пределах нужного терапевтического диапазона для показания в двух последовательных тестах.</w:t>
      </w:r>
    </w:p>
    <w:p w14:paraId="4D16A5AD" w14:textId="77777777"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Пациентам, получающим на данный момент АВК, следует прекратить прием АВК, и первую дозу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дать, когда МКН упадет ниже терапевтического диапазона.</w:t>
      </w:r>
    </w:p>
    <w:p w14:paraId="78DEBB48" w14:textId="0DC1117B"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w:t>
      </w:r>
      <w:r w:rsidRPr="006C4A45">
        <w:rPr>
          <w:rFonts w:ascii="Times New Roman" w:eastAsia="Calibri" w:hAnsi="Times New Roman" w:cs="Times New Roman"/>
          <w:i/>
          <w:sz w:val="24"/>
          <w:szCs w:val="24"/>
          <w:lang w:eastAsia="hu-HU"/>
        </w:rPr>
        <w:t xml:space="preserve">Переход от </w:t>
      </w:r>
      <w:proofErr w:type="spellStart"/>
      <w:r w:rsidRPr="006C4A45">
        <w:rPr>
          <w:rFonts w:ascii="Times New Roman" w:eastAsia="Calibri" w:hAnsi="Times New Roman" w:cs="Times New Roman"/>
          <w:i/>
          <w:sz w:val="24"/>
          <w:szCs w:val="24"/>
          <w:lang w:eastAsia="hu-HU"/>
        </w:rPr>
        <w:t>эноксапарина</w:t>
      </w:r>
      <w:proofErr w:type="spellEnd"/>
      <w:r w:rsidRPr="006C4A45">
        <w:rPr>
          <w:rFonts w:ascii="Times New Roman" w:eastAsia="Calibri" w:hAnsi="Times New Roman" w:cs="Times New Roman"/>
          <w:i/>
          <w:sz w:val="24"/>
          <w:szCs w:val="24"/>
          <w:lang w:eastAsia="hu-HU"/>
        </w:rPr>
        <w:t xml:space="preserve"> натрия к пероральным антикоагулянтам прямого действия (ПАПД): </w:t>
      </w:r>
      <w:r w:rsidR="00D1354C" w:rsidRPr="006C4A45">
        <w:rPr>
          <w:rFonts w:ascii="Times New Roman" w:eastAsia="Calibri" w:hAnsi="Times New Roman" w:cs="Times New Roman"/>
          <w:sz w:val="24"/>
          <w:szCs w:val="24"/>
          <w:lang w:eastAsia="hu-HU"/>
        </w:rPr>
        <w:t>п</w:t>
      </w:r>
      <w:r w:rsidRPr="006C4A45">
        <w:rPr>
          <w:rFonts w:ascii="Times New Roman" w:eastAsia="Calibri" w:hAnsi="Times New Roman" w:cs="Times New Roman"/>
          <w:sz w:val="24"/>
          <w:szCs w:val="24"/>
          <w:lang w:eastAsia="hu-HU"/>
        </w:rPr>
        <w:t xml:space="preserve">ациентам, получающим на данный момент </w:t>
      </w:r>
      <w:proofErr w:type="spellStart"/>
      <w:r w:rsidRPr="006C4A45">
        <w:rPr>
          <w:rFonts w:ascii="Times New Roman" w:eastAsia="Calibri" w:hAnsi="Times New Roman" w:cs="Times New Roman"/>
          <w:sz w:val="24"/>
          <w:szCs w:val="24"/>
          <w:lang w:eastAsia="hu-HU"/>
        </w:rPr>
        <w:t>эноксапарин</w:t>
      </w:r>
      <w:proofErr w:type="spellEnd"/>
      <w:r w:rsidRPr="006C4A45">
        <w:rPr>
          <w:rFonts w:ascii="Times New Roman" w:eastAsia="Calibri" w:hAnsi="Times New Roman" w:cs="Times New Roman"/>
          <w:sz w:val="24"/>
          <w:szCs w:val="24"/>
          <w:lang w:eastAsia="hu-HU"/>
        </w:rPr>
        <w:t xml:space="preserve"> натрия, следует прекратить прием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и начать терапию ПАПД за 0-2 часа до времени, когда наступит следующее плановое введение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согласно инструкции по применению ПАПД.</w:t>
      </w:r>
    </w:p>
    <w:p w14:paraId="13C3A668" w14:textId="11FF4443" w:rsidR="00C076C2" w:rsidRPr="006C4A45" w:rsidRDefault="00C076C2"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Пациентам, получающим на данный момент ПАПД, первую дозу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следует дать тогда, когда должна быть принята следующая доза ПАПД.</w:t>
      </w:r>
    </w:p>
    <w:p w14:paraId="08EA84A0" w14:textId="6C2AC740" w:rsidR="001447E3" w:rsidRPr="006C4A45" w:rsidRDefault="001447E3" w:rsidP="00C076C2">
      <w:pPr>
        <w:tabs>
          <w:tab w:val="left" w:pos="567"/>
        </w:tabs>
        <w:spacing w:after="0" w:line="240" w:lineRule="auto"/>
        <w:jc w:val="both"/>
        <w:rPr>
          <w:rFonts w:ascii="Times New Roman" w:eastAsia="Calibri" w:hAnsi="Times New Roman" w:cs="Times New Roman"/>
          <w:i/>
          <w:iCs/>
          <w:sz w:val="24"/>
          <w:szCs w:val="24"/>
          <w:u w:val="single"/>
          <w:lang w:eastAsia="hu-HU"/>
        </w:rPr>
      </w:pPr>
      <w:r w:rsidRPr="006C4A45">
        <w:rPr>
          <w:rFonts w:ascii="Times New Roman" w:eastAsia="Calibri" w:hAnsi="Times New Roman" w:cs="Times New Roman"/>
          <w:i/>
          <w:iCs/>
          <w:sz w:val="24"/>
          <w:szCs w:val="24"/>
          <w:u w:val="single"/>
          <w:lang w:eastAsia="hu-HU"/>
        </w:rPr>
        <w:t xml:space="preserve">Введение при спинальной/эпидуральной анестезии или </w:t>
      </w:r>
      <w:proofErr w:type="spellStart"/>
      <w:r w:rsidRPr="006C4A45">
        <w:rPr>
          <w:rFonts w:ascii="Times New Roman" w:eastAsia="Calibri" w:hAnsi="Times New Roman" w:cs="Times New Roman"/>
          <w:i/>
          <w:iCs/>
          <w:sz w:val="24"/>
          <w:szCs w:val="24"/>
          <w:u w:val="single"/>
          <w:lang w:eastAsia="hu-HU"/>
        </w:rPr>
        <w:t>люмбальной</w:t>
      </w:r>
      <w:proofErr w:type="spellEnd"/>
      <w:r w:rsidRPr="006C4A45">
        <w:rPr>
          <w:rFonts w:ascii="Times New Roman" w:eastAsia="Calibri" w:hAnsi="Times New Roman" w:cs="Times New Roman"/>
          <w:i/>
          <w:iCs/>
          <w:sz w:val="24"/>
          <w:szCs w:val="24"/>
          <w:u w:val="single"/>
          <w:lang w:eastAsia="hu-HU"/>
        </w:rPr>
        <w:t xml:space="preserve"> пункции</w:t>
      </w:r>
    </w:p>
    <w:p w14:paraId="0AE80988" w14:textId="572269C5" w:rsidR="001447E3" w:rsidRPr="006C4A45" w:rsidRDefault="001447E3" w:rsidP="00C076C2">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Если врач принимает решение о назначении антикоагулянтов в контексте эпидуральной или спинальной анестезии/анальгезии или </w:t>
      </w:r>
      <w:proofErr w:type="spellStart"/>
      <w:r w:rsidRPr="006C4A45">
        <w:rPr>
          <w:rFonts w:ascii="Times New Roman" w:eastAsia="Calibri" w:hAnsi="Times New Roman" w:cs="Times New Roman"/>
          <w:sz w:val="24"/>
          <w:szCs w:val="24"/>
          <w:lang w:eastAsia="hu-HU"/>
        </w:rPr>
        <w:t>люмбальной</w:t>
      </w:r>
      <w:proofErr w:type="spellEnd"/>
      <w:r w:rsidRPr="006C4A45">
        <w:rPr>
          <w:rFonts w:ascii="Times New Roman" w:eastAsia="Calibri" w:hAnsi="Times New Roman" w:cs="Times New Roman"/>
          <w:sz w:val="24"/>
          <w:szCs w:val="24"/>
          <w:lang w:eastAsia="hu-HU"/>
        </w:rPr>
        <w:t xml:space="preserve"> пункции, рекомендуется проводить тщательный неврологический мониторинг из-за риска возникновения </w:t>
      </w:r>
      <w:proofErr w:type="spellStart"/>
      <w:r w:rsidRPr="006C4A45">
        <w:rPr>
          <w:rFonts w:ascii="Times New Roman" w:eastAsia="Calibri" w:hAnsi="Times New Roman" w:cs="Times New Roman"/>
          <w:sz w:val="24"/>
          <w:szCs w:val="24"/>
          <w:lang w:eastAsia="hu-HU"/>
        </w:rPr>
        <w:t>нейроаксиальных</w:t>
      </w:r>
      <w:proofErr w:type="spellEnd"/>
      <w:r w:rsidRPr="006C4A45">
        <w:rPr>
          <w:rFonts w:ascii="Times New Roman" w:eastAsia="Calibri" w:hAnsi="Times New Roman" w:cs="Times New Roman"/>
          <w:sz w:val="24"/>
          <w:szCs w:val="24"/>
          <w:lang w:eastAsia="hu-HU"/>
        </w:rPr>
        <w:t xml:space="preserve"> гематом (см. раздел 4.4).</w:t>
      </w:r>
    </w:p>
    <w:p w14:paraId="641B71C3" w14:textId="6877E9CE" w:rsidR="001447E3" w:rsidRPr="006C4A45" w:rsidRDefault="001447E3" w:rsidP="001447E3">
      <w:pPr>
        <w:tabs>
          <w:tab w:val="left" w:pos="567"/>
        </w:tabs>
        <w:spacing w:after="0" w:line="240" w:lineRule="auto"/>
        <w:jc w:val="both"/>
        <w:rPr>
          <w:rFonts w:ascii="Times New Roman" w:eastAsia="Calibri" w:hAnsi="Times New Roman" w:cs="Times New Roman"/>
          <w:i/>
          <w:iCs/>
          <w:sz w:val="24"/>
          <w:szCs w:val="24"/>
          <w:lang w:eastAsia="hu-HU"/>
        </w:rPr>
      </w:pPr>
      <w:r w:rsidRPr="006C4A45">
        <w:rPr>
          <w:rFonts w:ascii="Times New Roman" w:eastAsia="Calibri" w:hAnsi="Times New Roman" w:cs="Times New Roman"/>
          <w:i/>
          <w:iCs/>
          <w:sz w:val="24"/>
          <w:szCs w:val="24"/>
          <w:lang w:eastAsia="hu-HU"/>
        </w:rPr>
        <w:t>В дозах, используемых для профилактики</w:t>
      </w:r>
    </w:p>
    <w:p w14:paraId="5E40883A" w14:textId="5B516E02"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Между последней инъекцией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в профилактических дозах и установкой иглы или катетера должен соблюдаться интервал без пункций не менее 12 часов.</w:t>
      </w:r>
    </w:p>
    <w:p w14:paraId="58663DD3" w14:textId="4260B8DD"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Для непрерывных методов следует соблюдать аналогичную задержку не менее 12 часов перед удалением катетера.</w:t>
      </w:r>
    </w:p>
    <w:p w14:paraId="7A9FADDB" w14:textId="13A0C291"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Для пациентов с клиренсом креатинина [15–30] мл/мин рассмотрите возможность удвоения времени пункции/постановки или удаления катетера до не менее 24 часов.</w:t>
      </w:r>
    </w:p>
    <w:p w14:paraId="5DF62B53" w14:textId="1954E4B5" w:rsidR="001447E3" w:rsidRPr="006C4A45" w:rsidRDefault="001447E3" w:rsidP="001447E3">
      <w:pPr>
        <w:tabs>
          <w:tab w:val="left" w:pos="567"/>
        </w:tabs>
        <w:spacing w:after="0" w:line="240" w:lineRule="auto"/>
        <w:jc w:val="both"/>
        <w:rPr>
          <w:rFonts w:ascii="Times New Roman" w:eastAsia="Calibri" w:hAnsi="Times New Roman" w:cs="Times New Roman"/>
          <w:sz w:val="24"/>
          <w:szCs w:val="24"/>
          <w:lang w:eastAsia="hu-HU"/>
        </w:rPr>
      </w:pPr>
      <w:r w:rsidRPr="006C4A45">
        <w:rPr>
          <w:rFonts w:ascii="Times New Roman" w:eastAsia="Calibri" w:hAnsi="Times New Roman" w:cs="Times New Roman"/>
          <w:sz w:val="24"/>
          <w:szCs w:val="24"/>
          <w:lang w:eastAsia="hu-HU"/>
        </w:rPr>
        <w:t xml:space="preserve">• Двухчасовое предоперационное начало приема </w:t>
      </w:r>
      <w:proofErr w:type="spellStart"/>
      <w:r w:rsidRPr="006C4A45">
        <w:rPr>
          <w:rFonts w:ascii="Times New Roman" w:eastAsia="Calibri" w:hAnsi="Times New Roman" w:cs="Times New Roman"/>
          <w:sz w:val="24"/>
          <w:szCs w:val="24"/>
          <w:lang w:eastAsia="hu-HU"/>
        </w:rPr>
        <w:t>эноксапарина</w:t>
      </w:r>
      <w:proofErr w:type="spellEnd"/>
      <w:r w:rsidRPr="006C4A45">
        <w:rPr>
          <w:rFonts w:ascii="Times New Roman" w:eastAsia="Calibri" w:hAnsi="Times New Roman" w:cs="Times New Roman"/>
          <w:sz w:val="24"/>
          <w:szCs w:val="24"/>
          <w:lang w:eastAsia="hu-HU"/>
        </w:rPr>
        <w:t xml:space="preserve"> натрия 2000 МЕ (20 мг) несовместимо с </w:t>
      </w:r>
      <w:proofErr w:type="spellStart"/>
      <w:r w:rsidRPr="006C4A45">
        <w:rPr>
          <w:rFonts w:ascii="Times New Roman" w:eastAsia="Calibri" w:hAnsi="Times New Roman" w:cs="Times New Roman"/>
          <w:sz w:val="24"/>
          <w:szCs w:val="24"/>
          <w:lang w:eastAsia="hu-HU"/>
        </w:rPr>
        <w:t>нейроаксиальной</w:t>
      </w:r>
      <w:proofErr w:type="spellEnd"/>
      <w:r w:rsidRPr="006C4A45">
        <w:rPr>
          <w:rFonts w:ascii="Times New Roman" w:eastAsia="Calibri" w:hAnsi="Times New Roman" w:cs="Times New Roman"/>
          <w:sz w:val="24"/>
          <w:szCs w:val="24"/>
          <w:lang w:eastAsia="hu-HU"/>
        </w:rPr>
        <w:t xml:space="preserve"> анестезией.</w:t>
      </w:r>
    </w:p>
    <w:p w14:paraId="68D6B7C9" w14:textId="15F7EEDE" w:rsidR="001447E3" w:rsidRPr="006C4A45" w:rsidRDefault="001447E3" w:rsidP="001447E3">
      <w:pPr>
        <w:tabs>
          <w:tab w:val="left" w:pos="567"/>
        </w:tabs>
        <w:spacing w:after="0" w:line="240" w:lineRule="auto"/>
        <w:jc w:val="both"/>
        <w:rPr>
          <w:rFonts w:ascii="Times New Roman" w:eastAsia="Calibri" w:hAnsi="Times New Roman" w:cs="Times New Roman"/>
          <w:i/>
          <w:iCs/>
          <w:sz w:val="24"/>
          <w:szCs w:val="24"/>
          <w:lang w:eastAsia="hu-HU"/>
        </w:rPr>
      </w:pPr>
      <w:r w:rsidRPr="006C4A45">
        <w:rPr>
          <w:rFonts w:ascii="Times New Roman" w:eastAsia="Calibri" w:hAnsi="Times New Roman" w:cs="Times New Roman"/>
          <w:i/>
          <w:iCs/>
          <w:sz w:val="24"/>
          <w:szCs w:val="24"/>
          <w:lang w:eastAsia="hu-HU"/>
        </w:rPr>
        <w:t>В дозах, используемых для лечения</w:t>
      </w:r>
    </w:p>
    <w:p w14:paraId="7836B33D" w14:textId="07F85976"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 Между последней инъекцией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в лечебных дозах и установкой иглы или катетера должен соблюдаться интервал без пункций не менее 24 часов (см. также раздел 4.3).</w:t>
      </w:r>
    </w:p>
    <w:p w14:paraId="0D74E216" w14:textId="5D8CB29F"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При непрерывных методах следует соблюдать аналогичную задержку в 24 часа перед удалением катетера.</w:t>
      </w:r>
    </w:p>
    <w:p w14:paraId="4C0B63E0" w14:textId="79AD64C9"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Для пациентов с клиренсом креатинина [15–30] мл/мин рассмотрите возможность удвоения времени пункции/установки или удаления катетера до не менее 48 часов.</w:t>
      </w:r>
    </w:p>
    <w:p w14:paraId="57631A98" w14:textId="0C0069DC"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lastRenderedPageBreak/>
        <w:t xml:space="preserve">• Пациентам, получающим дозы дважды в день (т. е. 75 МЕ/кг (0,75 мг/кг) дважды в день или 100 МЕ/кг (1 мг/кг) дважды в день), следует пропустить вторую дозу </w:t>
      </w:r>
      <w:proofErr w:type="spellStart"/>
      <w:r w:rsidRPr="006C4A45">
        <w:rPr>
          <w:rFonts w:ascii="Times New Roman" w:hAnsi="Times New Roman" w:cs="Times New Roman"/>
          <w:sz w:val="24"/>
          <w:szCs w:val="24"/>
        </w:rPr>
        <w:t>эноксапарина</w:t>
      </w:r>
      <w:proofErr w:type="spellEnd"/>
      <w:r w:rsidRPr="006C4A45">
        <w:rPr>
          <w:rFonts w:ascii="Times New Roman" w:hAnsi="Times New Roman" w:cs="Times New Roman"/>
          <w:sz w:val="24"/>
          <w:szCs w:val="24"/>
        </w:rPr>
        <w:t xml:space="preserve"> натрия, чтобы обеспечить достаточную задержку перед установкой или удалением катетера.</w:t>
      </w:r>
    </w:p>
    <w:p w14:paraId="6E43F3FB" w14:textId="698E8B5B" w:rsidR="001447E3"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Уровни анти-Ха все еще определяются в эти временные точки, и эти задержки не являются гарантией того, что </w:t>
      </w:r>
      <w:proofErr w:type="spellStart"/>
      <w:r w:rsidRPr="006C4A45">
        <w:rPr>
          <w:rFonts w:ascii="Times New Roman" w:hAnsi="Times New Roman" w:cs="Times New Roman"/>
          <w:sz w:val="24"/>
          <w:szCs w:val="24"/>
        </w:rPr>
        <w:t>нейроаксиальная</w:t>
      </w:r>
      <w:proofErr w:type="spellEnd"/>
      <w:r w:rsidRPr="006C4A45">
        <w:rPr>
          <w:rFonts w:ascii="Times New Roman" w:hAnsi="Times New Roman" w:cs="Times New Roman"/>
          <w:sz w:val="24"/>
          <w:szCs w:val="24"/>
        </w:rPr>
        <w:t xml:space="preserve"> гематома будет предотвращена.</w:t>
      </w:r>
    </w:p>
    <w:p w14:paraId="53D390F6" w14:textId="3FF3D327" w:rsidR="00C076C2" w:rsidRPr="006C4A45" w:rsidRDefault="001447E3" w:rsidP="001447E3">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Аналогично, рассмотрите возможность не использовать </w:t>
      </w:r>
      <w:proofErr w:type="spellStart"/>
      <w:r w:rsidRPr="006C4A45">
        <w:rPr>
          <w:rFonts w:ascii="Times New Roman" w:hAnsi="Times New Roman" w:cs="Times New Roman"/>
          <w:sz w:val="24"/>
          <w:szCs w:val="24"/>
        </w:rPr>
        <w:t>эноксапарин</w:t>
      </w:r>
      <w:proofErr w:type="spellEnd"/>
      <w:r w:rsidRPr="006C4A45">
        <w:rPr>
          <w:rFonts w:ascii="Times New Roman" w:hAnsi="Times New Roman" w:cs="Times New Roman"/>
          <w:sz w:val="24"/>
          <w:szCs w:val="24"/>
        </w:rPr>
        <w:t xml:space="preserve"> натрия в течение как минимум 4 часов после спинальной/эпидуральной пункции или после удаления катетера. Отсрочка должна основываться на оценке пользы и риска, учитывая как риск тромбоза, так и риск кровотечения в контексте процедуры и факторов риска для пациента.</w:t>
      </w:r>
    </w:p>
    <w:p w14:paraId="50ED5BBC" w14:textId="77777777" w:rsidR="001447E3" w:rsidRPr="006C4A45" w:rsidRDefault="001447E3" w:rsidP="005A10DC">
      <w:pPr>
        <w:spacing w:after="0" w:line="240" w:lineRule="auto"/>
        <w:jc w:val="both"/>
        <w:rPr>
          <w:rFonts w:ascii="Times New Roman" w:hAnsi="Times New Roman" w:cs="Times New Roman"/>
          <w:sz w:val="24"/>
          <w:szCs w:val="24"/>
        </w:rPr>
      </w:pPr>
    </w:p>
    <w:p w14:paraId="766D1B82" w14:textId="77777777" w:rsidR="009C166C" w:rsidRPr="006C4A45" w:rsidRDefault="009C166C"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4.3.</w:t>
      </w:r>
      <w:r w:rsidR="0031198A" w:rsidRPr="006C4A45">
        <w:rPr>
          <w:rFonts w:ascii="Times New Roman" w:hAnsi="Times New Roman" w:cs="Times New Roman"/>
          <w:b/>
          <w:sz w:val="24"/>
          <w:szCs w:val="24"/>
        </w:rPr>
        <w:t xml:space="preserve"> Противопоказания</w:t>
      </w:r>
    </w:p>
    <w:p w14:paraId="52C54AE1" w14:textId="77777777" w:rsidR="002937D9" w:rsidRPr="006C4A45" w:rsidRDefault="002937D9" w:rsidP="002937D9">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6C4A45">
        <w:rPr>
          <w:rFonts w:ascii="Times New Roman" w:eastAsia="Times New Roman" w:hAnsi="Times New Roman" w:cs="Times New Roman"/>
          <w:color w:val="000000"/>
          <w:sz w:val="24"/>
          <w:szCs w:val="24"/>
          <w:lang w:eastAsia="hu-HU"/>
        </w:rPr>
        <w:t xml:space="preserve">- гиперчувствительность к </w:t>
      </w:r>
      <w:proofErr w:type="spellStart"/>
      <w:r w:rsidRPr="006C4A45">
        <w:rPr>
          <w:rFonts w:ascii="Times New Roman" w:eastAsia="Times New Roman" w:hAnsi="Times New Roman" w:cs="Times New Roman"/>
          <w:color w:val="000000"/>
          <w:sz w:val="24"/>
          <w:szCs w:val="24"/>
          <w:lang w:eastAsia="hu-HU"/>
        </w:rPr>
        <w:t>эноксапарину</w:t>
      </w:r>
      <w:proofErr w:type="spellEnd"/>
      <w:r w:rsidRPr="006C4A45">
        <w:rPr>
          <w:rFonts w:ascii="Times New Roman" w:eastAsia="Times New Roman" w:hAnsi="Times New Roman" w:cs="Times New Roman"/>
          <w:color w:val="000000"/>
          <w:sz w:val="24"/>
          <w:szCs w:val="24"/>
          <w:lang w:eastAsia="hu-HU"/>
        </w:rPr>
        <w:t>, гепарину или его производным, включая другие виды н</w:t>
      </w:r>
      <w:r w:rsidRPr="006C4A45">
        <w:rPr>
          <w:rFonts w:ascii="Times New Roman" w:eastAsia="Times New Roman" w:hAnsi="Times New Roman" w:cs="Times New Roman"/>
          <w:bCs/>
          <w:color w:val="000000"/>
          <w:sz w:val="24"/>
          <w:szCs w:val="24"/>
          <w:shd w:val="clear" w:color="auto" w:fill="FFFFFF"/>
          <w:lang w:eastAsia="hu-HU"/>
        </w:rPr>
        <w:t>изкомолекулярные гепарины</w:t>
      </w:r>
      <w:r w:rsidRPr="006C4A45">
        <w:rPr>
          <w:rFonts w:ascii="Times New Roman" w:eastAsia="Times New Roman" w:hAnsi="Times New Roman" w:cs="Times New Roman"/>
          <w:color w:val="000000"/>
          <w:sz w:val="24"/>
          <w:szCs w:val="24"/>
          <w:lang w:eastAsia="hu-HU"/>
        </w:rPr>
        <w:t xml:space="preserve"> (НМГ) или к любым вспомогательным веществам</w:t>
      </w:r>
    </w:p>
    <w:p w14:paraId="75D66EEE" w14:textId="77777777" w:rsidR="002937D9" w:rsidRPr="006C4A45" w:rsidRDefault="002937D9" w:rsidP="002937D9">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hu-HU"/>
        </w:rPr>
      </w:pPr>
      <w:r w:rsidRPr="006C4A45">
        <w:rPr>
          <w:rFonts w:ascii="Times New Roman" w:eastAsia="Times New Roman" w:hAnsi="Times New Roman" w:cs="Times New Roman"/>
          <w:color w:val="000000"/>
          <w:sz w:val="24"/>
          <w:szCs w:val="24"/>
          <w:lang w:eastAsia="hu-HU"/>
        </w:rPr>
        <w:t xml:space="preserve">- наличие в анамнезе тяжелой, </w:t>
      </w:r>
      <w:proofErr w:type="spellStart"/>
      <w:r w:rsidRPr="006C4A45">
        <w:rPr>
          <w:rFonts w:ascii="Times New Roman" w:eastAsia="Times New Roman" w:hAnsi="Times New Roman" w:cs="Times New Roman"/>
          <w:color w:val="000000"/>
          <w:sz w:val="24"/>
          <w:szCs w:val="24"/>
          <w:lang w:eastAsia="hu-HU"/>
        </w:rPr>
        <w:t>иммуноопосредованной</w:t>
      </w:r>
      <w:proofErr w:type="spellEnd"/>
      <w:r w:rsidRPr="006C4A45">
        <w:rPr>
          <w:rFonts w:ascii="Times New Roman" w:eastAsia="Times New Roman" w:hAnsi="Times New Roman" w:cs="Times New Roman"/>
          <w:color w:val="000000"/>
          <w:sz w:val="24"/>
          <w:szCs w:val="24"/>
          <w:lang w:eastAsia="hu-HU"/>
        </w:rPr>
        <w:t xml:space="preserve"> гепарин-индуцированной тромбоцитопении (ГИТ) в течение последних 100 дней или при наличии циркулирующих антител </w:t>
      </w:r>
    </w:p>
    <w:p w14:paraId="3E6A8E75"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активные клинически значимые кровотечения и заболевания с высоким риском кровотечения:</w:t>
      </w:r>
    </w:p>
    <w:p w14:paraId="18E7EADC"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недавно перенесенный геморрагический инсульт </w:t>
      </w:r>
    </w:p>
    <w:p w14:paraId="1429B0EC"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язвенная болезнь желудочно-кишечного тракта </w:t>
      </w:r>
    </w:p>
    <w:p w14:paraId="1E750DA7"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наличие злокачественного новообразования с высоким риском кровотечения, </w:t>
      </w:r>
    </w:p>
    <w:p w14:paraId="0B9970D3"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недавно перенесенная операция на головном мозге, на позвоночнике или  </w:t>
      </w:r>
    </w:p>
    <w:p w14:paraId="188A0820"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         офтальмологическая операция</w:t>
      </w:r>
    </w:p>
    <w:p w14:paraId="02667351"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варикозное расширение вен пищевода (или подозрение на него)</w:t>
      </w:r>
    </w:p>
    <w:p w14:paraId="2F62AD0A"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артериовенозный врожденный порок</w:t>
      </w:r>
    </w:p>
    <w:p w14:paraId="77951E77"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аневризмы сосудов</w:t>
      </w:r>
    </w:p>
    <w:p w14:paraId="2EBEB72A"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ab/>
        <w:t xml:space="preserve">- аномалии крупных </w:t>
      </w:r>
      <w:proofErr w:type="spellStart"/>
      <w:r w:rsidRPr="006C4A45">
        <w:rPr>
          <w:rFonts w:ascii="Times New Roman" w:eastAsia="Calibri" w:hAnsi="Times New Roman" w:cs="Times New Roman"/>
          <w:sz w:val="24"/>
          <w:szCs w:val="24"/>
        </w:rPr>
        <w:t>внутрипозвоночных</w:t>
      </w:r>
      <w:proofErr w:type="spellEnd"/>
      <w:r w:rsidRPr="006C4A45">
        <w:rPr>
          <w:rFonts w:ascii="Times New Roman" w:eastAsia="Calibri" w:hAnsi="Times New Roman" w:cs="Times New Roman"/>
          <w:sz w:val="24"/>
          <w:szCs w:val="24"/>
        </w:rPr>
        <w:t xml:space="preserve"> или внутримозговых сосудов</w:t>
      </w:r>
    </w:p>
    <w:p w14:paraId="65858A84" w14:textId="77777777" w:rsidR="002937D9" w:rsidRPr="006C4A45" w:rsidRDefault="002937D9" w:rsidP="002937D9">
      <w:pPr>
        <w:tabs>
          <w:tab w:val="left" w:pos="567"/>
        </w:tabs>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 спинальная или эпидуральная анестезия или </w:t>
      </w:r>
      <w:proofErr w:type="spellStart"/>
      <w:r w:rsidRPr="006C4A45">
        <w:rPr>
          <w:rFonts w:ascii="Times New Roman" w:eastAsia="Calibri" w:hAnsi="Times New Roman" w:cs="Times New Roman"/>
          <w:sz w:val="24"/>
          <w:szCs w:val="24"/>
        </w:rPr>
        <w:t>локорегионарная</w:t>
      </w:r>
      <w:proofErr w:type="spellEnd"/>
      <w:r w:rsidRPr="006C4A45">
        <w:rPr>
          <w:rFonts w:ascii="Times New Roman" w:eastAsia="Calibri" w:hAnsi="Times New Roman" w:cs="Times New Roman"/>
          <w:sz w:val="24"/>
          <w:szCs w:val="24"/>
        </w:rPr>
        <w:t xml:space="preserve"> анестезия при применении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натрия для лечения в течение предыдущих 24 часов</w:t>
      </w:r>
    </w:p>
    <w:p w14:paraId="4F1FD600" w14:textId="77777777" w:rsidR="0031198A" w:rsidRPr="006C4A45" w:rsidRDefault="0031198A" w:rsidP="00760C4A">
      <w:pPr>
        <w:pStyle w:val="Text1"/>
        <w:spacing w:before="0"/>
        <w:ind w:hanging="284"/>
        <w:jc w:val="both"/>
        <w:rPr>
          <w:rFonts w:ascii="Times New Roman" w:hAnsi="Times New Roman"/>
          <w:szCs w:val="24"/>
          <w:lang w:val="ru-RU"/>
        </w:rPr>
      </w:pPr>
    </w:p>
    <w:p w14:paraId="136194FF" w14:textId="77777777" w:rsidR="009F7D9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4.4. </w:t>
      </w:r>
      <w:r w:rsidR="009F7D92" w:rsidRPr="006C4A45">
        <w:rPr>
          <w:rFonts w:ascii="Times New Roman" w:hAnsi="Times New Roman" w:cs="Times New Roman"/>
          <w:b/>
          <w:sz w:val="24"/>
          <w:szCs w:val="24"/>
        </w:rPr>
        <w:t>Особые указания и меры предосторожности пр</w:t>
      </w:r>
      <w:r w:rsidRPr="006C4A45">
        <w:rPr>
          <w:rFonts w:ascii="Times New Roman" w:hAnsi="Times New Roman" w:cs="Times New Roman"/>
          <w:b/>
          <w:sz w:val="24"/>
          <w:szCs w:val="24"/>
        </w:rPr>
        <w:t>и применении</w:t>
      </w:r>
    </w:p>
    <w:p w14:paraId="219DA9B2" w14:textId="77777777" w:rsidR="006156E6" w:rsidRPr="006C4A45" w:rsidRDefault="006156E6" w:rsidP="006156E6">
      <w:pPr>
        <w:spacing w:after="0" w:line="240" w:lineRule="auto"/>
        <w:jc w:val="both"/>
        <w:rPr>
          <w:rFonts w:ascii="Times New Roman" w:eastAsia="Times New Roman" w:hAnsi="Times New Roman" w:cs="Times New Roman"/>
          <w:i/>
          <w:sz w:val="24"/>
          <w:szCs w:val="24"/>
        </w:rPr>
      </w:pPr>
      <w:r w:rsidRPr="006C4A45">
        <w:rPr>
          <w:rFonts w:ascii="Times New Roman" w:eastAsia="Times New Roman" w:hAnsi="Times New Roman" w:cs="Times New Roman"/>
          <w:i/>
          <w:sz w:val="24"/>
          <w:szCs w:val="24"/>
        </w:rPr>
        <w:t>Общая информация</w:t>
      </w:r>
    </w:p>
    <w:p w14:paraId="3883C7D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запрещается использовать в порядке взаимозаменяемости (единица на единицу) с другими низкомолекулярными гепаринами. Эти лекарственные препараты различаются по процессу производства, молекулярной массе, специфической анти-Ха активности и анти-</w:t>
      </w:r>
      <w:proofErr w:type="spellStart"/>
      <w:r w:rsidRPr="006C4A45">
        <w:rPr>
          <w:rFonts w:ascii="Times New Roman" w:eastAsia="Times New Roman" w:hAnsi="Times New Roman" w:cs="Times New Roman"/>
          <w:sz w:val="24"/>
          <w:szCs w:val="24"/>
        </w:rPr>
        <w:t>IIa</w:t>
      </w:r>
      <w:proofErr w:type="spellEnd"/>
      <w:r w:rsidRPr="006C4A45">
        <w:rPr>
          <w:rFonts w:ascii="Times New Roman" w:eastAsia="Times New Roman" w:hAnsi="Times New Roman" w:cs="Times New Roman"/>
          <w:sz w:val="24"/>
          <w:szCs w:val="24"/>
        </w:rPr>
        <w:t xml:space="preserve"> активности, единицам дозирования, режиму дозирования и клинической эффективности и безопасности. Это ведет к различиям в их фармакокинетике и биологической активности (</w:t>
      </w:r>
      <w:proofErr w:type="spellStart"/>
      <w:r w:rsidRPr="006C4A45">
        <w:rPr>
          <w:rFonts w:ascii="Times New Roman" w:eastAsia="Times New Roman" w:hAnsi="Times New Roman" w:cs="Times New Roman"/>
          <w:sz w:val="24"/>
          <w:szCs w:val="24"/>
        </w:rPr>
        <w:t>антитромбиновая</w:t>
      </w:r>
      <w:proofErr w:type="spellEnd"/>
      <w:r w:rsidRPr="006C4A45">
        <w:rPr>
          <w:rFonts w:ascii="Times New Roman" w:eastAsia="Times New Roman" w:hAnsi="Times New Roman" w:cs="Times New Roman"/>
          <w:sz w:val="24"/>
          <w:szCs w:val="24"/>
        </w:rPr>
        <w:t xml:space="preserve"> активность и взаимодействие с тромбоцитами). Поэтому требуется особое внимание и соблюдение инструкций по применению, специфичных для каждого лекарственного препарата.  </w:t>
      </w:r>
    </w:p>
    <w:p w14:paraId="32964318"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Гепарин-индуцированная тромбоцитопения в анамнезе (&gt;100 дней)</w:t>
      </w:r>
    </w:p>
    <w:p w14:paraId="4998CE3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Применение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пациентов с </w:t>
      </w:r>
      <w:proofErr w:type="spellStart"/>
      <w:r w:rsidRPr="006C4A45">
        <w:rPr>
          <w:rFonts w:ascii="Times New Roman" w:eastAsia="Times New Roman" w:hAnsi="Times New Roman" w:cs="Times New Roman"/>
          <w:sz w:val="24"/>
          <w:szCs w:val="24"/>
        </w:rPr>
        <w:t>иммуноопосредованной</w:t>
      </w:r>
      <w:proofErr w:type="spellEnd"/>
      <w:r w:rsidRPr="006C4A45">
        <w:rPr>
          <w:rFonts w:ascii="Times New Roman" w:eastAsia="Times New Roman" w:hAnsi="Times New Roman" w:cs="Times New Roman"/>
          <w:sz w:val="24"/>
          <w:szCs w:val="24"/>
        </w:rPr>
        <w:t xml:space="preserve"> гепарин-индуцированной тромбоцитопенией в анамнезе в течение последних 100 дней или при наличии циркулирующих антител противопоказано. Циркулирующие антитела могут сохраняться в течение нескольких лет.</w:t>
      </w:r>
    </w:p>
    <w:p w14:paraId="062B7C9B"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С особой осторожностью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следует применять у пациентов, в анамнезе которых имеются сведения о гепарин-индуцированной тромбоцитопении (&gt;100 дней) без циркулирующих антител. Решение о применении </w:t>
      </w:r>
      <w:proofErr w:type="spellStart"/>
      <w:r w:rsidRPr="006C4A45">
        <w:rPr>
          <w:rFonts w:ascii="Times New Roman" w:eastAsia="Times New Roman" w:hAnsi="Times New Roman" w:cs="Times New Roman"/>
          <w:bCs/>
          <w:sz w:val="24"/>
          <w:szCs w:val="24"/>
        </w:rPr>
        <w:lastRenderedPageBreak/>
        <w:t>эноксапарина</w:t>
      </w:r>
      <w:proofErr w:type="spellEnd"/>
      <w:r w:rsidRPr="006C4A45">
        <w:rPr>
          <w:rFonts w:ascii="Times New Roman" w:eastAsia="Times New Roman" w:hAnsi="Times New Roman" w:cs="Times New Roman"/>
          <w:bCs/>
          <w:sz w:val="24"/>
          <w:szCs w:val="24"/>
        </w:rPr>
        <w:t xml:space="preserve"> натрия в таком случае должно приниматься только после тщательной оценки соотношения пользы и риска и после</w:t>
      </w:r>
      <w:r w:rsidRPr="006C4A45">
        <w:rPr>
          <w:rFonts w:ascii="Times New Roman" w:eastAsia="Times New Roman" w:hAnsi="Times New Roman" w:cs="Times New Roman"/>
          <w:sz w:val="24"/>
          <w:szCs w:val="24"/>
        </w:rPr>
        <w:t xml:space="preserve"> рассмотрения возможности альтернативных </w:t>
      </w:r>
      <w:proofErr w:type="spellStart"/>
      <w:r w:rsidRPr="006C4A45">
        <w:rPr>
          <w:rFonts w:ascii="Times New Roman" w:eastAsia="Times New Roman" w:hAnsi="Times New Roman" w:cs="Times New Roman"/>
          <w:sz w:val="24"/>
          <w:szCs w:val="24"/>
        </w:rPr>
        <w:t>негепариновых</w:t>
      </w:r>
      <w:proofErr w:type="spellEnd"/>
      <w:r w:rsidRPr="006C4A45">
        <w:rPr>
          <w:rFonts w:ascii="Times New Roman" w:eastAsia="Times New Roman" w:hAnsi="Times New Roman" w:cs="Times New Roman"/>
          <w:sz w:val="24"/>
          <w:szCs w:val="24"/>
        </w:rPr>
        <w:t xml:space="preserve"> терапий (например, </w:t>
      </w:r>
      <w:proofErr w:type="spellStart"/>
      <w:r w:rsidRPr="006C4A45">
        <w:rPr>
          <w:rFonts w:ascii="Times New Roman" w:eastAsia="Times New Roman" w:hAnsi="Times New Roman" w:cs="Times New Roman"/>
          <w:sz w:val="24"/>
          <w:szCs w:val="24"/>
        </w:rPr>
        <w:t>данапароид</w:t>
      </w:r>
      <w:proofErr w:type="spellEnd"/>
      <w:r w:rsidRPr="006C4A45">
        <w:rPr>
          <w:rFonts w:ascii="Times New Roman" w:eastAsia="Times New Roman" w:hAnsi="Times New Roman" w:cs="Times New Roman"/>
          <w:sz w:val="24"/>
          <w:szCs w:val="24"/>
        </w:rPr>
        <w:t xml:space="preserve"> натрия или </w:t>
      </w:r>
      <w:proofErr w:type="spellStart"/>
      <w:r w:rsidRPr="006C4A45">
        <w:rPr>
          <w:rFonts w:ascii="Times New Roman" w:eastAsia="Times New Roman" w:hAnsi="Times New Roman" w:cs="Times New Roman"/>
          <w:sz w:val="24"/>
          <w:szCs w:val="24"/>
        </w:rPr>
        <w:t>лепирудин</w:t>
      </w:r>
      <w:proofErr w:type="spellEnd"/>
      <w:r w:rsidRPr="006C4A45">
        <w:rPr>
          <w:rFonts w:ascii="Times New Roman" w:eastAsia="Times New Roman" w:hAnsi="Times New Roman" w:cs="Times New Roman"/>
          <w:sz w:val="24"/>
          <w:szCs w:val="24"/>
        </w:rPr>
        <w:t>).</w:t>
      </w:r>
    </w:p>
    <w:p w14:paraId="4D58065F"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Контроль количества тромбоцитов</w:t>
      </w:r>
    </w:p>
    <w:p w14:paraId="44F94FF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 введении низкомолекулярных гепаринов также существует риск антитело-опосредованной </w:t>
      </w:r>
      <w:r w:rsidRPr="006C4A45">
        <w:rPr>
          <w:rFonts w:ascii="Times New Roman" w:eastAsia="Times New Roman" w:hAnsi="Times New Roman" w:cs="Times New Roman"/>
          <w:bCs/>
          <w:sz w:val="24"/>
          <w:szCs w:val="24"/>
        </w:rPr>
        <w:t>гепарин-индуцированной тромбоцитопении. Как правило, тромбоцитопения возникает в период между 5-м и 21-м днями после начала лечения</w:t>
      </w:r>
      <w:r w:rsidRPr="006C4A45">
        <w:rPr>
          <w:rFonts w:ascii="Times New Roman" w:eastAsia="Times New Roman" w:hAnsi="Times New Roman" w:cs="Times New Roman"/>
          <w:sz w:val="24"/>
          <w:szCs w:val="24"/>
        </w:rPr>
        <w:t xml:space="preserve">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w:t>
      </w:r>
    </w:p>
    <w:p w14:paraId="2B7D8E53"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Риск гепарин-индуцированной тромбоцитопении выше у послеоперационных пациентов, преимущественно после операции на сердце и у пациентов со </w:t>
      </w:r>
      <w:r w:rsidRPr="006C4A45">
        <w:rPr>
          <w:rFonts w:ascii="Times New Roman" w:eastAsia="Times New Roman" w:hAnsi="Times New Roman" w:cs="Times New Roman"/>
          <w:sz w:val="24"/>
          <w:szCs w:val="24"/>
        </w:rPr>
        <w:t>злокачественным новообразованием.</w:t>
      </w:r>
    </w:p>
    <w:p w14:paraId="0AC9C698"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Поэтому, рекомендуется измерять количество тромбоцитов до начала терапии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и далее регулярно во время лечения.</w:t>
      </w:r>
    </w:p>
    <w:p w14:paraId="79D470C9"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При наличии клинических симптомов, указывающих на</w:t>
      </w:r>
      <w:r w:rsidRPr="006C4A45">
        <w:rPr>
          <w:rFonts w:ascii="Times New Roman" w:eastAsia="Times New Roman" w:hAnsi="Times New Roman" w:cs="Times New Roman"/>
          <w:bCs/>
          <w:sz w:val="24"/>
          <w:szCs w:val="24"/>
        </w:rPr>
        <w:t xml:space="preserve"> гепарин-индуцированную тромбоцитопению</w:t>
      </w:r>
      <w:r w:rsidRPr="006C4A45">
        <w:rPr>
          <w:rFonts w:ascii="Times New Roman" w:eastAsia="Times New Roman" w:hAnsi="Times New Roman" w:cs="Times New Roman"/>
          <w:sz w:val="24"/>
          <w:szCs w:val="24"/>
        </w:rPr>
        <w:t xml:space="preserve"> (любой новый эпизод артериального и/или венозного тромбоэмболии, любое болезненное поражение кожи на месте введения, любые аллергические или анафилактические реакции на лечение), необходимо измерить количество тромбоцитов. Пациенты должны быть осведомлены о том, что эти симптомы могут возникнуть, </w:t>
      </w:r>
      <w:proofErr w:type="gramStart"/>
      <w:r w:rsidRPr="006C4A45">
        <w:rPr>
          <w:rFonts w:ascii="Times New Roman" w:eastAsia="Times New Roman" w:hAnsi="Times New Roman" w:cs="Times New Roman"/>
          <w:sz w:val="24"/>
          <w:szCs w:val="24"/>
        </w:rPr>
        <w:t>и</w:t>
      </w:r>
      <w:proofErr w:type="gramEnd"/>
      <w:r w:rsidRPr="006C4A45">
        <w:rPr>
          <w:rFonts w:ascii="Times New Roman" w:eastAsia="Times New Roman" w:hAnsi="Times New Roman" w:cs="Times New Roman"/>
          <w:sz w:val="24"/>
          <w:szCs w:val="24"/>
        </w:rPr>
        <w:t xml:space="preserve"> если они возникнут, пациенты должны сообщить об этом своему лечащему врачу.</w:t>
      </w:r>
    </w:p>
    <w:p w14:paraId="65F7B85E"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На практике, если имеет место подтвержденное значительное снижение количества тромбоцитов (30-50 % от первоначального значения), лечение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натрия следует немедленно прекратить и перевести пациента на другую альтернативную терапию </w:t>
      </w:r>
      <w:proofErr w:type="spellStart"/>
      <w:r w:rsidRPr="006C4A45">
        <w:rPr>
          <w:rFonts w:ascii="Times New Roman" w:eastAsia="Times New Roman" w:hAnsi="Times New Roman" w:cs="Times New Roman"/>
          <w:sz w:val="24"/>
          <w:szCs w:val="24"/>
        </w:rPr>
        <w:t>негепариновыми</w:t>
      </w:r>
      <w:proofErr w:type="spellEnd"/>
      <w:r w:rsidRPr="006C4A45">
        <w:rPr>
          <w:rFonts w:ascii="Times New Roman" w:eastAsia="Times New Roman" w:hAnsi="Times New Roman" w:cs="Times New Roman"/>
          <w:sz w:val="24"/>
          <w:szCs w:val="24"/>
        </w:rPr>
        <w:t xml:space="preserve"> антикоагулянтами.</w:t>
      </w:r>
    </w:p>
    <w:p w14:paraId="6B68D6F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Кровотечение</w:t>
      </w:r>
    </w:p>
    <w:p w14:paraId="300BECB8"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Как и при применении других антикоагулянтов, возможно развитие кровотечений любой локализации. При развитии кровотечения необходимо найти его источник и провести соответствующее лечение.</w:t>
      </w:r>
    </w:p>
    <w:p w14:paraId="548515C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bCs/>
          <w:sz w:val="24"/>
          <w:szCs w:val="24"/>
        </w:rPr>
        <w:t xml:space="preserve">Как и при любой антикоагулянтной терапии,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w:t>
      </w:r>
      <w:r w:rsidRPr="006C4A45">
        <w:rPr>
          <w:rFonts w:ascii="Times New Roman" w:eastAsia="Times New Roman" w:hAnsi="Times New Roman" w:cs="Times New Roman"/>
          <w:bCs/>
          <w:sz w:val="24"/>
          <w:szCs w:val="24"/>
        </w:rPr>
        <w:t xml:space="preserve"> следует применять с осторожностью при следующих состояниях с повышенной вероятностью кровотечения</w:t>
      </w:r>
      <w:r w:rsidRPr="006C4A45">
        <w:rPr>
          <w:rFonts w:ascii="Times New Roman" w:eastAsia="Times New Roman" w:hAnsi="Times New Roman" w:cs="Times New Roman"/>
          <w:sz w:val="24"/>
          <w:szCs w:val="24"/>
        </w:rPr>
        <w:t>:</w:t>
      </w:r>
    </w:p>
    <w:p w14:paraId="10A233D7" w14:textId="77777777" w:rsidR="00B85801" w:rsidRPr="006C4A45" w:rsidRDefault="00B85801"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     </w:t>
      </w:r>
      <w:r w:rsidR="006156E6" w:rsidRPr="006C4A45">
        <w:rPr>
          <w:rFonts w:ascii="Times New Roman" w:eastAsia="Times New Roman" w:hAnsi="Times New Roman" w:cs="Times New Roman"/>
          <w:sz w:val="24"/>
          <w:szCs w:val="24"/>
        </w:rPr>
        <w:t>нарушение гемостаза</w:t>
      </w:r>
    </w:p>
    <w:p w14:paraId="39AB74D4"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пептическая язва в анамнезе</w:t>
      </w:r>
    </w:p>
    <w:p w14:paraId="01ADCBED"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недавно перенесенный ишемический инсульт</w:t>
      </w:r>
    </w:p>
    <w:p w14:paraId="0374ED96"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тяжелая артериальная гипертензия</w:t>
      </w:r>
    </w:p>
    <w:p w14:paraId="37CB4699"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недавно перенесенная диабетическая ретинопатия</w:t>
      </w:r>
    </w:p>
    <w:p w14:paraId="0C602169"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неврологическая или офтальмологическая операция</w:t>
      </w:r>
    </w:p>
    <w:p w14:paraId="5EEE686C" w14:textId="77777777" w:rsidR="006156E6" w:rsidRPr="006C4A45" w:rsidRDefault="006156E6" w:rsidP="006156E6">
      <w:pPr>
        <w:numPr>
          <w:ilvl w:val="0"/>
          <w:numId w:val="22"/>
        </w:num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rPr>
        <w:t>одновременный прием препаратов, влияющих на систему гемостаза</w:t>
      </w:r>
    </w:p>
    <w:p w14:paraId="7B28E8AC"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Лабораторные тесты</w:t>
      </w:r>
    </w:p>
    <w:p w14:paraId="6B730ED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В дозах, применяемых для профилактики венозной тромбоэмболии,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существенно не влияет на время кровотечения и общие показатели свертывания крови, а также на агрегацию тромбоцитов или на связывание их с фибриногеном. </w:t>
      </w:r>
    </w:p>
    <w:p w14:paraId="380D076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При повышении дозы может удлиняться активированное частичное </w:t>
      </w:r>
      <w:proofErr w:type="spellStart"/>
      <w:r w:rsidRPr="006C4A45">
        <w:rPr>
          <w:rFonts w:ascii="Times New Roman" w:eastAsia="Times New Roman" w:hAnsi="Times New Roman" w:cs="Times New Roman"/>
          <w:sz w:val="24"/>
          <w:szCs w:val="24"/>
        </w:rPr>
        <w:t>тромбопластиновое</w:t>
      </w:r>
      <w:proofErr w:type="spellEnd"/>
      <w:r w:rsidRPr="006C4A45">
        <w:rPr>
          <w:rFonts w:ascii="Times New Roman" w:eastAsia="Times New Roman" w:hAnsi="Times New Roman" w:cs="Times New Roman"/>
          <w:sz w:val="24"/>
          <w:szCs w:val="24"/>
        </w:rPr>
        <w:t xml:space="preserve"> время (АЧТВ) и активированное время свертывания крови (АВСК). Увеличение АЧТВ и АВСК не находятся в прямой линейной зависимости от увеличения </w:t>
      </w:r>
      <w:proofErr w:type="spellStart"/>
      <w:r w:rsidRPr="006C4A45">
        <w:rPr>
          <w:rFonts w:ascii="Times New Roman" w:eastAsia="Times New Roman" w:hAnsi="Times New Roman" w:cs="Times New Roman"/>
          <w:sz w:val="24"/>
          <w:szCs w:val="24"/>
        </w:rPr>
        <w:t>антитромботической</w:t>
      </w:r>
      <w:proofErr w:type="spellEnd"/>
      <w:r w:rsidRPr="006C4A45">
        <w:rPr>
          <w:rFonts w:ascii="Times New Roman" w:eastAsia="Times New Roman" w:hAnsi="Times New Roman" w:cs="Times New Roman"/>
          <w:sz w:val="24"/>
          <w:szCs w:val="24"/>
        </w:rPr>
        <w:t xml:space="preserve"> активности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поэтому нет необходимости в их мониторинге.  </w:t>
      </w:r>
    </w:p>
    <w:p w14:paraId="66E2B8C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 xml:space="preserve">Спинальная/Эпидуральная анестезия или </w:t>
      </w:r>
      <w:proofErr w:type="spellStart"/>
      <w:r w:rsidRPr="006C4A45">
        <w:rPr>
          <w:rFonts w:ascii="Times New Roman" w:eastAsia="Times New Roman" w:hAnsi="Times New Roman" w:cs="Times New Roman"/>
          <w:sz w:val="24"/>
          <w:szCs w:val="24"/>
          <w:u w:val="single"/>
        </w:rPr>
        <w:t>люмбальная</w:t>
      </w:r>
      <w:proofErr w:type="spellEnd"/>
      <w:r w:rsidRPr="006C4A45">
        <w:rPr>
          <w:rFonts w:ascii="Times New Roman" w:eastAsia="Times New Roman" w:hAnsi="Times New Roman" w:cs="Times New Roman"/>
          <w:sz w:val="24"/>
          <w:szCs w:val="24"/>
          <w:u w:val="single"/>
        </w:rPr>
        <w:t xml:space="preserve"> пункция</w:t>
      </w:r>
    </w:p>
    <w:p w14:paraId="22D7EF35"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В течение 24 часов после введения терапевтических доз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нельзя проводить спинальную/эпидуральную анестезию и </w:t>
      </w:r>
      <w:proofErr w:type="spellStart"/>
      <w:r w:rsidRPr="006C4A45">
        <w:rPr>
          <w:rFonts w:ascii="Times New Roman" w:eastAsia="Times New Roman" w:hAnsi="Times New Roman" w:cs="Times New Roman"/>
          <w:sz w:val="24"/>
          <w:szCs w:val="24"/>
        </w:rPr>
        <w:t>люмбальную</w:t>
      </w:r>
      <w:proofErr w:type="spellEnd"/>
      <w:r w:rsidRPr="006C4A45">
        <w:rPr>
          <w:rFonts w:ascii="Times New Roman" w:eastAsia="Times New Roman" w:hAnsi="Times New Roman" w:cs="Times New Roman"/>
          <w:sz w:val="24"/>
          <w:szCs w:val="24"/>
        </w:rPr>
        <w:t xml:space="preserve"> пункцию.</w:t>
      </w:r>
    </w:p>
    <w:p w14:paraId="51008537"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Сообщалось о случаях </w:t>
      </w:r>
      <w:proofErr w:type="spellStart"/>
      <w:r w:rsidRPr="006C4A45">
        <w:rPr>
          <w:rFonts w:ascii="Times New Roman" w:eastAsia="Times New Roman" w:hAnsi="Times New Roman" w:cs="Times New Roman"/>
          <w:sz w:val="24"/>
          <w:szCs w:val="24"/>
        </w:rPr>
        <w:t>нейроаксиальных</w:t>
      </w:r>
      <w:proofErr w:type="spellEnd"/>
      <w:r w:rsidRPr="006C4A45">
        <w:rPr>
          <w:rFonts w:ascii="Times New Roman" w:eastAsia="Times New Roman" w:hAnsi="Times New Roman" w:cs="Times New Roman"/>
          <w:sz w:val="24"/>
          <w:szCs w:val="24"/>
        </w:rPr>
        <w:t xml:space="preserve"> гематом при применении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во время проведения спинальной/эпидуральной анестезии и спинальной пункции, что </w:t>
      </w:r>
      <w:r w:rsidRPr="006C4A45">
        <w:rPr>
          <w:rFonts w:ascii="Times New Roman" w:eastAsia="Times New Roman" w:hAnsi="Times New Roman" w:cs="Times New Roman"/>
          <w:sz w:val="24"/>
          <w:szCs w:val="24"/>
        </w:rPr>
        <w:lastRenderedPageBreak/>
        <w:t xml:space="preserve">приводит к развитию стойкого или необратимого паралича. Риск развития таких явлений снижается при применении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 дозах 4 000 МЕ (40 мг) один раз в сутки или ниже. При использовании проникающих эпидуральных катетеров после операции, при одновременном применении дополнительных препаратов, оказывающих влияние на гемостаз (к примеру, нестероидных противовоспалительных препаратов), при травматической или повторной эпидуральной или спинномозговой пункции, а также у пациентов, перенесших операцию на позвоночнике или с деформацией позвоночника, риск повышается.  </w:t>
      </w:r>
    </w:p>
    <w:p w14:paraId="1C037B5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Для снижения возможного риска кровотечения, связанного с применением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и проведением одновременно эпидуральной или спинальной анестезии/анальгезии или </w:t>
      </w:r>
      <w:proofErr w:type="spellStart"/>
      <w:r w:rsidRPr="006C4A45">
        <w:rPr>
          <w:rFonts w:ascii="Times New Roman" w:eastAsia="Times New Roman" w:hAnsi="Times New Roman" w:cs="Times New Roman"/>
          <w:sz w:val="24"/>
          <w:szCs w:val="24"/>
        </w:rPr>
        <w:t>люмбальной</w:t>
      </w:r>
      <w:proofErr w:type="spellEnd"/>
      <w:r w:rsidRPr="006C4A45">
        <w:rPr>
          <w:rFonts w:ascii="Times New Roman" w:eastAsia="Times New Roman" w:hAnsi="Times New Roman" w:cs="Times New Roman"/>
          <w:sz w:val="24"/>
          <w:szCs w:val="24"/>
        </w:rPr>
        <w:t xml:space="preserve"> пункции, необходимо учитывать фармакокинетический профиль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Установку или удаление эпидурального катетера (или </w:t>
      </w:r>
      <w:proofErr w:type="spellStart"/>
      <w:r w:rsidRPr="006C4A45">
        <w:rPr>
          <w:rFonts w:ascii="Times New Roman" w:eastAsia="Times New Roman" w:hAnsi="Times New Roman" w:cs="Times New Roman"/>
          <w:sz w:val="24"/>
          <w:szCs w:val="24"/>
        </w:rPr>
        <w:t>люмбальную</w:t>
      </w:r>
      <w:proofErr w:type="spellEnd"/>
      <w:r w:rsidRPr="006C4A45">
        <w:rPr>
          <w:rFonts w:ascii="Times New Roman" w:eastAsia="Times New Roman" w:hAnsi="Times New Roman" w:cs="Times New Roman"/>
          <w:sz w:val="24"/>
          <w:szCs w:val="24"/>
        </w:rPr>
        <w:t xml:space="preserve"> пункцию) лучше проводить при низком антикоагулянтном эффекте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однако, точное время достижения достаточно низкого антикоагулянтного эффекта у каждого пациента неизвестно. Для пациентов с клиренсом креатинина 15-</w:t>
      </w:r>
      <w:r w:rsidRPr="006C4A45">
        <w:rPr>
          <w:rFonts w:ascii="Times New Roman" w:eastAsia="Times New Roman" w:hAnsi="Times New Roman" w:cs="Times New Roman"/>
          <w:sz w:val="24"/>
          <w:szCs w:val="24"/>
        </w:rPr>
        <w:softHyphen/>
        <w:t xml:space="preserve">30 мл/минут необходимо принять дополнительные меры, поскольку выведение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них происходит дольше.</w:t>
      </w:r>
    </w:p>
    <w:p w14:paraId="4C9F1204"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Если по назначению врача применяется антикоагулянтная терапия во время проведения эпидуральной или спинальной анестезии/анальгезии или </w:t>
      </w:r>
      <w:proofErr w:type="spellStart"/>
      <w:r w:rsidRPr="006C4A45">
        <w:rPr>
          <w:rFonts w:ascii="Times New Roman" w:eastAsia="Times New Roman" w:hAnsi="Times New Roman" w:cs="Times New Roman"/>
          <w:sz w:val="24"/>
          <w:szCs w:val="24"/>
        </w:rPr>
        <w:t>люмбальной</w:t>
      </w:r>
      <w:proofErr w:type="spellEnd"/>
      <w:r w:rsidRPr="006C4A45">
        <w:rPr>
          <w:rFonts w:ascii="Times New Roman" w:eastAsia="Times New Roman" w:hAnsi="Times New Roman" w:cs="Times New Roman"/>
          <w:sz w:val="24"/>
          <w:szCs w:val="24"/>
        </w:rPr>
        <w:t xml:space="preserve"> пункции, необходимо особо тщательное постоянное наблюдение за пациентом для выявления любых неврологических симптомов, таких как: боль в пояснице, нарушение сенсорных и моторных функций (онемение или слабость в нижних конечностях), нарушение функции кишечника и/или мочевого пузыря. Пациента необходимо проинструктировать о необходимости немедленного информирования врача при возникновении любого из вышеописанных симптомов. При подозрении на симптомы, характерные для гематомы спинного мозга, необходимы срочная диагностика и лечение, включая, при необходимости, декомпрессию спинного мозга, хотя такое лечение может и не предотвратить или купировать неврологические осложнения.</w:t>
      </w:r>
    </w:p>
    <w:p w14:paraId="0D830EC1"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Некроз кожи/кожный васкулит</w:t>
      </w:r>
    </w:p>
    <w:p w14:paraId="77D9B9C8"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Сообщалось о случаях некроза кожи и кожного васкулита при применении низкомолекулярных гепаринов. В таком случае лечение необходимо прекратить немедленно.</w:t>
      </w:r>
    </w:p>
    <w:p w14:paraId="76B92C48" w14:textId="77777777" w:rsidR="006156E6" w:rsidRPr="006C4A45" w:rsidRDefault="006156E6" w:rsidP="006156E6">
      <w:pPr>
        <w:spacing w:after="0" w:line="240" w:lineRule="auto"/>
        <w:jc w:val="both"/>
        <w:rPr>
          <w:rFonts w:ascii="Times New Roman" w:eastAsia="Times New Roman" w:hAnsi="Times New Roman" w:cs="Times New Roman"/>
          <w:b/>
          <w:sz w:val="24"/>
          <w:szCs w:val="24"/>
          <w:u w:val="single"/>
        </w:rPr>
      </w:pPr>
      <w:r w:rsidRPr="006C4A45">
        <w:rPr>
          <w:rFonts w:ascii="Times New Roman" w:eastAsia="Times New Roman" w:hAnsi="Times New Roman" w:cs="Times New Roman"/>
          <w:sz w:val="24"/>
          <w:szCs w:val="24"/>
          <w:u w:val="single"/>
        </w:rPr>
        <w:t xml:space="preserve">Процедуры </w:t>
      </w:r>
      <w:proofErr w:type="spellStart"/>
      <w:r w:rsidRPr="006C4A45">
        <w:rPr>
          <w:rFonts w:ascii="Times New Roman" w:eastAsia="Times New Roman" w:hAnsi="Times New Roman" w:cs="Times New Roman"/>
          <w:sz w:val="24"/>
          <w:szCs w:val="24"/>
          <w:u w:val="single"/>
        </w:rPr>
        <w:t>чрескожной</w:t>
      </w:r>
      <w:proofErr w:type="spellEnd"/>
      <w:r w:rsidRPr="006C4A45">
        <w:rPr>
          <w:rFonts w:ascii="Times New Roman" w:eastAsia="Times New Roman" w:hAnsi="Times New Roman" w:cs="Times New Roman"/>
          <w:sz w:val="24"/>
          <w:szCs w:val="24"/>
          <w:u w:val="single"/>
        </w:rPr>
        <w:t xml:space="preserve"> коронарной </w:t>
      </w:r>
      <w:proofErr w:type="spellStart"/>
      <w:r w:rsidRPr="006C4A45">
        <w:rPr>
          <w:rFonts w:ascii="Times New Roman" w:eastAsia="Times New Roman" w:hAnsi="Times New Roman" w:cs="Times New Roman"/>
          <w:sz w:val="24"/>
          <w:szCs w:val="24"/>
          <w:u w:val="single"/>
        </w:rPr>
        <w:t>реваскуляризации</w:t>
      </w:r>
      <w:proofErr w:type="spellEnd"/>
      <w:r w:rsidRPr="006C4A45">
        <w:rPr>
          <w:rFonts w:ascii="Times New Roman" w:eastAsia="Times New Roman" w:hAnsi="Times New Roman" w:cs="Times New Roman"/>
          <w:i/>
          <w:sz w:val="24"/>
          <w:szCs w:val="24"/>
        </w:rPr>
        <w:t xml:space="preserve"> (ЧКР) </w:t>
      </w:r>
    </w:p>
    <w:p w14:paraId="38E4C57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Для уменьшения риска кровотечений после </w:t>
      </w:r>
      <w:proofErr w:type="spellStart"/>
      <w:r w:rsidRPr="006C4A45">
        <w:rPr>
          <w:rFonts w:ascii="Times New Roman" w:eastAsia="Times New Roman" w:hAnsi="Times New Roman" w:cs="Times New Roman"/>
          <w:sz w:val="24"/>
          <w:szCs w:val="24"/>
        </w:rPr>
        <w:t>чрескожного</w:t>
      </w:r>
      <w:proofErr w:type="spellEnd"/>
      <w:r w:rsidRPr="006C4A45">
        <w:rPr>
          <w:rFonts w:ascii="Times New Roman" w:eastAsia="Times New Roman" w:hAnsi="Times New Roman" w:cs="Times New Roman"/>
          <w:sz w:val="24"/>
          <w:szCs w:val="24"/>
        </w:rPr>
        <w:t xml:space="preserve"> коронарного вмешательства при терапии нестабильной стенокардии, инфаркта миокарда без зубца </w:t>
      </w:r>
      <w:r w:rsidRPr="006C4A45">
        <w:rPr>
          <w:rFonts w:ascii="Times New Roman" w:eastAsia="Times New Roman" w:hAnsi="Times New Roman" w:cs="Times New Roman"/>
          <w:sz w:val="24"/>
          <w:szCs w:val="24"/>
          <w:lang w:val="en-US"/>
        </w:rPr>
        <w:t>Q</w:t>
      </w:r>
      <w:r w:rsidRPr="006C4A45">
        <w:rPr>
          <w:rFonts w:ascii="Times New Roman" w:eastAsia="Times New Roman" w:hAnsi="Times New Roman" w:cs="Times New Roman"/>
          <w:sz w:val="24"/>
          <w:szCs w:val="24"/>
        </w:rPr>
        <w:t xml:space="preserve"> и острого инфаркта миокарда с подъемом сегмента </w:t>
      </w:r>
      <w:r w:rsidRPr="006C4A45">
        <w:rPr>
          <w:rFonts w:ascii="Times New Roman" w:eastAsia="Times New Roman" w:hAnsi="Times New Roman" w:cs="Times New Roman"/>
          <w:sz w:val="24"/>
          <w:szCs w:val="24"/>
          <w:lang w:val="en-US"/>
        </w:rPr>
        <w:t>ST</w:t>
      </w:r>
      <w:r w:rsidRPr="006C4A45">
        <w:rPr>
          <w:rFonts w:ascii="Times New Roman" w:eastAsia="Times New Roman" w:hAnsi="Times New Roman" w:cs="Times New Roman"/>
          <w:sz w:val="24"/>
          <w:szCs w:val="24"/>
        </w:rPr>
        <w:t xml:space="preserve"> рекомендуется строго соблюдать рекомендуемые интервалы между дозами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Важно достижение гемостаза в месте пункции после ЧКР. В случае применения защитного устройства, катетер может быть выведен незамедлительно. В случае применения метода ручной компрессии, катетер должен быть выведен через 6 часов после последней подкожной/внутривенной инъекции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Если терапия продолжается, следующий режим дозирования должен быть назначен не ранее 6-8 часов после удаления катетера. Следует оценить наличие признаков кровотечения или формирования гематомы в месте введения катетера. </w:t>
      </w:r>
    </w:p>
    <w:p w14:paraId="3B780AB9"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Острый инфекционный эндокардит</w:t>
      </w:r>
    </w:p>
    <w:p w14:paraId="0740204B"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Применение гепарина обычно не рекомендовано пациентам с острым инфекционным эндокардитом в связи с риском кровоизлияния в мозг. Если такое применение считается абсолютно необходимым, решение должно приниматься только после тщательной оценки соотношения пользы и риска.</w:t>
      </w:r>
    </w:p>
    <w:p w14:paraId="4223A2DB"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Механические искусственные клапаны сердца</w:t>
      </w:r>
    </w:p>
    <w:p w14:paraId="6C2B7B94" w14:textId="77777777" w:rsidR="006156E6" w:rsidRPr="006C4A45" w:rsidRDefault="006156E6"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lastRenderedPageBreak/>
        <w:t xml:space="preserve">Применение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w:t>
      </w:r>
      <w:r w:rsidRPr="006C4A45">
        <w:rPr>
          <w:rFonts w:ascii="Times New Roman" w:eastAsia="Times New Roman" w:hAnsi="Times New Roman" w:cs="Times New Roman"/>
          <w:bCs/>
          <w:sz w:val="24"/>
          <w:szCs w:val="24"/>
        </w:rPr>
        <w:t xml:space="preserve">для профилактики тромбообразования у пациентов с механическими искусственными клапанами сердца изучено недостаточно. Зарегистрированы единичные случаи развития тромбоза искусственных клапанов сердца у пациентов с механическими искусственными клапанами сердца на фоне терапии </w:t>
      </w:r>
      <w:proofErr w:type="spellStart"/>
      <w:r w:rsidRPr="006C4A45">
        <w:rPr>
          <w:rFonts w:ascii="Times New Roman" w:eastAsia="Times New Roman" w:hAnsi="Times New Roman" w:cs="Times New Roman"/>
          <w:bCs/>
          <w:sz w:val="24"/>
          <w:szCs w:val="24"/>
        </w:rPr>
        <w:t>эноксапарином</w:t>
      </w:r>
      <w:proofErr w:type="spellEnd"/>
      <w:r w:rsidRPr="006C4A45">
        <w:rPr>
          <w:rFonts w:ascii="Times New Roman" w:eastAsia="Times New Roman" w:hAnsi="Times New Roman" w:cs="Times New Roman"/>
          <w:bCs/>
          <w:sz w:val="24"/>
          <w:szCs w:val="24"/>
        </w:rPr>
        <w:t xml:space="preserve"> натрия для профилактики тромбообразования. Оценка этих сообщений ограничена из-за наличия запутывающих факторов, способствующих развитию тромбоза искусственных клапанов сердца, включая основное заболевание, и из-за недостаточности клинических данных. Некоторые из этих случаев были у беременных женщин, у которых тромбоз приводил к смерти матери и плода.</w:t>
      </w:r>
    </w:p>
    <w:p w14:paraId="5B30DCAB"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bCs/>
          <w:sz w:val="24"/>
          <w:szCs w:val="24"/>
          <w:u w:val="single"/>
        </w:rPr>
        <w:t>Беременные женщины с механическими искусственными клапанами сердца</w:t>
      </w:r>
    </w:p>
    <w:p w14:paraId="55B10837" w14:textId="77777777" w:rsidR="00E918C5" w:rsidRPr="006C4A45" w:rsidRDefault="00E918C5" w:rsidP="006156E6">
      <w:pPr>
        <w:spacing w:after="0" w:line="240" w:lineRule="auto"/>
        <w:jc w:val="both"/>
        <w:rPr>
          <w:rFonts w:ascii="Times New Roman" w:eastAsia="Times New Roman" w:hAnsi="Times New Roman" w:cs="Times New Roman"/>
          <w:bCs/>
          <w:sz w:val="24"/>
          <w:szCs w:val="24"/>
        </w:rPr>
      </w:pPr>
      <w:r w:rsidRPr="006C4A45">
        <w:rPr>
          <w:rFonts w:ascii="Times New Roman" w:eastAsia="Times New Roman" w:hAnsi="Times New Roman" w:cs="Times New Roman"/>
          <w:bCs/>
          <w:sz w:val="24"/>
          <w:szCs w:val="24"/>
        </w:rPr>
        <w:t xml:space="preserve">Использование </w:t>
      </w:r>
      <w:proofErr w:type="spellStart"/>
      <w:r w:rsidRPr="006C4A45">
        <w:rPr>
          <w:rFonts w:ascii="Times New Roman" w:eastAsia="Times New Roman" w:hAnsi="Times New Roman" w:cs="Times New Roman"/>
          <w:bCs/>
          <w:sz w:val="24"/>
          <w:szCs w:val="24"/>
        </w:rPr>
        <w:t>эноксапарина</w:t>
      </w:r>
      <w:proofErr w:type="spellEnd"/>
      <w:r w:rsidRPr="006C4A45">
        <w:rPr>
          <w:rFonts w:ascii="Times New Roman" w:eastAsia="Times New Roman" w:hAnsi="Times New Roman" w:cs="Times New Roman"/>
          <w:bCs/>
          <w:sz w:val="24"/>
          <w:szCs w:val="24"/>
        </w:rPr>
        <w:t xml:space="preserve"> натрия для профилактики тромбозов у ​​беременных женщин с механическими протезами клапанов сердца не было должным образом изучено. В клиническом исследовании беременных женщин с механическими протезами клапанов сердца, которым давали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(100 МЕ/кг (1 мг/кг) два раза в день) для снижения риска тромбоэмболии, у 2 из 8 женщин образовались тромбы, что привело к закупорке клапана и смерти матери и плода. Были отдельные пострегистрационные сообщения о тромбозе клапанов у беременных женщин с механическими протезами клапанов сердца, получавших </w:t>
      </w:r>
      <w:proofErr w:type="spellStart"/>
      <w:r w:rsidRPr="006C4A45">
        <w:rPr>
          <w:rFonts w:ascii="Times New Roman" w:eastAsia="Times New Roman" w:hAnsi="Times New Roman" w:cs="Times New Roman"/>
          <w:bCs/>
          <w:sz w:val="24"/>
          <w:szCs w:val="24"/>
        </w:rPr>
        <w:t>эноксапарин</w:t>
      </w:r>
      <w:proofErr w:type="spellEnd"/>
      <w:r w:rsidRPr="006C4A45">
        <w:rPr>
          <w:rFonts w:ascii="Times New Roman" w:eastAsia="Times New Roman" w:hAnsi="Times New Roman" w:cs="Times New Roman"/>
          <w:bCs/>
          <w:sz w:val="24"/>
          <w:szCs w:val="24"/>
        </w:rPr>
        <w:t xml:space="preserve"> натрия для профилактики тромбозов. Беременные женщины с механическими протезами клапанов сердца могут быть подвержены более высокому риску тромбоэмболии.</w:t>
      </w:r>
    </w:p>
    <w:p w14:paraId="7E465BE6" w14:textId="7FB173B6"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Пациенты пожилого возраста</w:t>
      </w:r>
    </w:p>
    <w:p w14:paraId="6C4075AC" w14:textId="193A2158"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При применении препарата в профилактических дозах у пациентов пожилого возраста не было выявлено тенденции к увеличению кровоточивости. При применении препарата в терапевтических дозах у пациентов пожилого возраста (особенно у пациентов в возрасте 80 лет и старше) существует повышенный риск развития кровотечений. Рекомендуется проведение тщательного наблюдения и возможность снижения дозы у пациентов старше 75 лет, получающих лечение от инфаркта миокарда с подъемом сегмента ST</w:t>
      </w:r>
      <w:r w:rsidR="00E918C5" w:rsidRPr="006C4A45">
        <w:rPr>
          <w:rFonts w:ascii="Times New Roman" w:eastAsia="Times New Roman" w:hAnsi="Times New Roman" w:cs="Times New Roman"/>
          <w:sz w:val="24"/>
          <w:szCs w:val="24"/>
        </w:rPr>
        <w:t xml:space="preserve"> (см. раздел 4.2 и 5.2)</w:t>
      </w:r>
      <w:r w:rsidRPr="006C4A45">
        <w:rPr>
          <w:rFonts w:ascii="Times New Roman" w:eastAsia="Times New Roman" w:hAnsi="Times New Roman" w:cs="Times New Roman"/>
          <w:sz w:val="24"/>
          <w:szCs w:val="24"/>
        </w:rPr>
        <w:t xml:space="preserve">. </w:t>
      </w:r>
    </w:p>
    <w:p w14:paraId="7FEF2FB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Нарушение функции почек</w:t>
      </w:r>
    </w:p>
    <w:p w14:paraId="16062612" w14:textId="65C0F6BC"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 пациентов с нарушением функции почек существует риск развития кровотечения в результате увеличения системной экспозиции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У таких пациентов рекомендуется проведение тщательного контроля и биологический мониторинг путем измерения анти-Ха активности</w:t>
      </w:r>
      <w:r w:rsidR="00E918C5" w:rsidRPr="006C4A45">
        <w:rPr>
          <w:rFonts w:ascii="Times New Roman" w:eastAsia="Times New Roman" w:hAnsi="Times New Roman" w:cs="Times New Roman"/>
          <w:sz w:val="24"/>
          <w:szCs w:val="24"/>
        </w:rPr>
        <w:t xml:space="preserve"> (см. раздел 4.2 и 5.2).</w:t>
      </w:r>
    </w:p>
    <w:p w14:paraId="04EF4900"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не рекомендован пациентам с терминальной стадией болезни почек (клиренс креатинина &lt;15 мл/мин) в связи с отсутствием данных о популяции, помимо профилактики тромбообразования в экстракорпоральном круге кровообращения при проведении гемодиализа.</w:t>
      </w:r>
    </w:p>
    <w:p w14:paraId="6AD02AE9" w14:textId="0DA58C7D"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 пациентов с тяжелым нарушением функции почек (клиренс креатинина 15-30 мл/мин) рекомендуется проводить коррекцию дозы, как при профилактическом, так и терапевтическом применении препарата, поскольку экспозиция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существенно увеличена</w:t>
      </w:r>
      <w:r w:rsidR="00E918C5" w:rsidRPr="006C4A45">
        <w:rPr>
          <w:rFonts w:ascii="Times New Roman" w:eastAsia="Times New Roman" w:hAnsi="Times New Roman" w:cs="Times New Roman"/>
          <w:sz w:val="24"/>
          <w:szCs w:val="24"/>
        </w:rPr>
        <w:t xml:space="preserve"> (см. раздел 4.2)</w:t>
      </w:r>
      <w:r w:rsidRPr="006C4A45">
        <w:rPr>
          <w:rFonts w:ascii="Times New Roman" w:eastAsia="Times New Roman" w:hAnsi="Times New Roman" w:cs="Times New Roman"/>
          <w:sz w:val="24"/>
          <w:szCs w:val="24"/>
        </w:rPr>
        <w:t>.</w:t>
      </w:r>
    </w:p>
    <w:p w14:paraId="4F0B296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У пациентов с умеренным (клиренс креатинина 30-50 мл/мин) и легким (клиренс креатинина 50-80 мл/мин) нарушением функции почек не требуется проводить коррекцию дозы.</w:t>
      </w:r>
    </w:p>
    <w:p w14:paraId="7A401886"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Нарушение функции печени</w:t>
      </w:r>
    </w:p>
    <w:p w14:paraId="07F9D128" w14:textId="2FBA804B" w:rsidR="006156E6" w:rsidRPr="006C4A45" w:rsidRDefault="006156E6" w:rsidP="006156E6">
      <w:pPr>
        <w:spacing w:after="0" w:line="240" w:lineRule="auto"/>
        <w:jc w:val="both"/>
        <w:rPr>
          <w:rFonts w:ascii="Times New Roman" w:eastAsia="Times New Roman" w:hAnsi="Times New Roman" w:cs="Times New Roman"/>
          <w:sz w:val="24"/>
          <w:szCs w:val="24"/>
        </w:rPr>
      </w:pP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натрия следует применять с осторожностью у пациентов с нарушением функции печени, в связи с вероятностью кровотечения. Коррекция дозы на основании мониторинга уровней анти-</w:t>
      </w:r>
      <w:proofErr w:type="spellStart"/>
      <w:r w:rsidRPr="006C4A45">
        <w:rPr>
          <w:rFonts w:ascii="Times New Roman" w:eastAsia="Times New Roman" w:hAnsi="Times New Roman" w:cs="Times New Roman"/>
          <w:sz w:val="24"/>
          <w:szCs w:val="24"/>
        </w:rPr>
        <w:t>Xa</w:t>
      </w:r>
      <w:proofErr w:type="spellEnd"/>
      <w:r w:rsidRPr="006C4A45">
        <w:rPr>
          <w:rFonts w:ascii="Times New Roman" w:eastAsia="Times New Roman" w:hAnsi="Times New Roman" w:cs="Times New Roman"/>
          <w:sz w:val="24"/>
          <w:szCs w:val="24"/>
        </w:rPr>
        <w:t xml:space="preserve"> активности является ненадежной у пациентов с циррозом печени и не рекомендуется</w:t>
      </w:r>
      <w:r w:rsidR="00E918C5" w:rsidRPr="006C4A45">
        <w:rPr>
          <w:rFonts w:ascii="Times New Roman" w:eastAsia="Times New Roman" w:hAnsi="Times New Roman" w:cs="Times New Roman"/>
          <w:sz w:val="24"/>
          <w:szCs w:val="24"/>
        </w:rPr>
        <w:t xml:space="preserve"> (см. раздел 5.2)</w:t>
      </w:r>
      <w:r w:rsidRPr="006C4A45">
        <w:rPr>
          <w:rFonts w:ascii="Times New Roman" w:eastAsia="Times New Roman" w:hAnsi="Times New Roman" w:cs="Times New Roman"/>
          <w:sz w:val="24"/>
          <w:szCs w:val="24"/>
        </w:rPr>
        <w:t xml:space="preserve">. </w:t>
      </w:r>
    </w:p>
    <w:p w14:paraId="15D9A468"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Низкая масса тела</w:t>
      </w:r>
    </w:p>
    <w:p w14:paraId="5984D81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Увеличение экспозиции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натрия в профилактических дозах (не скорректированных с учетом массы тела) у женщин с низкой массой тела (менее 45 кг) </w:t>
      </w:r>
      <w:r w:rsidRPr="006C4A45">
        <w:rPr>
          <w:rFonts w:ascii="Times New Roman" w:eastAsia="Times New Roman" w:hAnsi="Times New Roman" w:cs="Times New Roman"/>
          <w:sz w:val="24"/>
          <w:szCs w:val="24"/>
        </w:rPr>
        <w:lastRenderedPageBreak/>
        <w:t>и у мужчин с низкой массой тела (менее 57 кг) может приводить к повышенному риску развития кровотечений. Рекомендуется проведение тщательного контроля за состоянием таких пациентов.</w:t>
      </w:r>
    </w:p>
    <w:p w14:paraId="5862A792"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Пациенты с ожирением</w:t>
      </w:r>
    </w:p>
    <w:p w14:paraId="5BC3753D"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Пациенты с ожирением находятся в группе повышенного риска развития тромбоэмболии. Безопасность и эффективность применения </w:t>
      </w:r>
      <w:proofErr w:type="spellStart"/>
      <w:r w:rsidRPr="006C4A45">
        <w:rPr>
          <w:rFonts w:ascii="Times New Roman" w:eastAsia="Times New Roman" w:hAnsi="Times New Roman" w:cs="Times New Roman"/>
          <w:sz w:val="24"/>
          <w:szCs w:val="24"/>
        </w:rPr>
        <w:t>эноксапарина</w:t>
      </w:r>
      <w:proofErr w:type="spellEnd"/>
      <w:r w:rsidRPr="006C4A45">
        <w:rPr>
          <w:rFonts w:ascii="Times New Roman" w:eastAsia="Times New Roman" w:hAnsi="Times New Roman" w:cs="Times New Roman"/>
          <w:sz w:val="24"/>
          <w:szCs w:val="24"/>
        </w:rPr>
        <w:t xml:space="preserve"> в профилактических дозах у пациентов с ожирением (ИМТ более 30 кг/м</w:t>
      </w:r>
      <w:r w:rsidRPr="006C4A45">
        <w:rPr>
          <w:rFonts w:ascii="Times New Roman" w:eastAsia="Times New Roman" w:hAnsi="Times New Roman" w:cs="Times New Roman"/>
          <w:sz w:val="24"/>
          <w:szCs w:val="24"/>
          <w:vertAlign w:val="superscript"/>
        </w:rPr>
        <w:t>2</w:t>
      </w:r>
      <w:r w:rsidRPr="006C4A45">
        <w:rPr>
          <w:rFonts w:ascii="Times New Roman" w:eastAsia="Times New Roman" w:hAnsi="Times New Roman" w:cs="Times New Roman"/>
          <w:sz w:val="24"/>
          <w:szCs w:val="24"/>
        </w:rPr>
        <w:t>) до конца не определена</w:t>
      </w:r>
      <w:r w:rsidR="00E941C4" w:rsidRPr="006C4A45">
        <w:rPr>
          <w:rFonts w:ascii="Times New Roman" w:eastAsia="Times New Roman" w:hAnsi="Times New Roman" w:cs="Times New Roman"/>
          <w:sz w:val="24"/>
          <w:szCs w:val="24"/>
        </w:rPr>
        <w:t>,</w:t>
      </w:r>
      <w:r w:rsidRPr="006C4A45">
        <w:rPr>
          <w:rFonts w:ascii="Times New Roman" w:eastAsia="Times New Roman" w:hAnsi="Times New Roman" w:cs="Times New Roman"/>
          <w:sz w:val="24"/>
          <w:szCs w:val="24"/>
        </w:rPr>
        <w:t xml:space="preserve"> и нет общего мнения по коррекции дозы. Этих пациентов следует внимательно наблюдать на предмет развития симптомов и признаков тромбоэмболии.  </w:t>
      </w:r>
    </w:p>
    <w:p w14:paraId="74757FE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proofErr w:type="spellStart"/>
      <w:r w:rsidRPr="006C4A45">
        <w:rPr>
          <w:rFonts w:ascii="Times New Roman" w:eastAsia="Times New Roman" w:hAnsi="Times New Roman" w:cs="Times New Roman"/>
          <w:sz w:val="24"/>
          <w:szCs w:val="24"/>
          <w:u w:val="single"/>
        </w:rPr>
        <w:t>Гиперкалиемия</w:t>
      </w:r>
      <w:proofErr w:type="spellEnd"/>
      <w:r w:rsidRPr="006C4A45">
        <w:rPr>
          <w:rFonts w:ascii="Times New Roman" w:eastAsia="Times New Roman" w:hAnsi="Times New Roman" w:cs="Times New Roman"/>
          <w:sz w:val="24"/>
          <w:szCs w:val="24"/>
          <w:u w:val="single"/>
        </w:rPr>
        <w:t xml:space="preserve"> </w:t>
      </w:r>
    </w:p>
    <w:p w14:paraId="5AB8731E" w14:textId="2FAF15CC"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Гепарины могут подавлять секрецию коры надпочечников гормона альдостерона, что ведет к </w:t>
      </w:r>
      <w:proofErr w:type="spellStart"/>
      <w:r w:rsidRPr="006C4A45">
        <w:rPr>
          <w:rFonts w:ascii="Times New Roman" w:eastAsia="Times New Roman" w:hAnsi="Times New Roman" w:cs="Times New Roman"/>
          <w:sz w:val="24"/>
          <w:szCs w:val="24"/>
        </w:rPr>
        <w:t>гиперкалиемии</w:t>
      </w:r>
      <w:proofErr w:type="spellEnd"/>
      <w:r w:rsidR="00E918C5" w:rsidRPr="006C4A45">
        <w:rPr>
          <w:rFonts w:ascii="Times New Roman" w:eastAsia="Times New Roman" w:hAnsi="Times New Roman" w:cs="Times New Roman"/>
          <w:sz w:val="24"/>
          <w:szCs w:val="24"/>
        </w:rPr>
        <w:t xml:space="preserve"> (см. раздел 4.8)</w:t>
      </w:r>
      <w:r w:rsidRPr="006C4A45">
        <w:rPr>
          <w:rFonts w:ascii="Times New Roman" w:eastAsia="Times New Roman" w:hAnsi="Times New Roman" w:cs="Times New Roman"/>
          <w:sz w:val="24"/>
          <w:szCs w:val="24"/>
        </w:rPr>
        <w:t>, в частности у пациентов с сахарным диабетом, хронической почечной недостаточностью, существовавшим ранее метаболическим ацидозом, которые принимают лекарственные препараты, увеличивающие уровень калия</w:t>
      </w:r>
      <w:r w:rsidR="0070705D" w:rsidRPr="006C4A45">
        <w:rPr>
          <w:rFonts w:ascii="Times New Roman" w:eastAsia="Times New Roman" w:hAnsi="Times New Roman" w:cs="Times New Roman"/>
          <w:sz w:val="24"/>
          <w:szCs w:val="24"/>
        </w:rPr>
        <w:t xml:space="preserve"> (см. раздел 4.5)</w:t>
      </w:r>
      <w:r w:rsidRPr="006C4A45">
        <w:rPr>
          <w:rFonts w:ascii="Times New Roman" w:eastAsia="Times New Roman" w:hAnsi="Times New Roman" w:cs="Times New Roman"/>
          <w:sz w:val="24"/>
          <w:szCs w:val="24"/>
        </w:rPr>
        <w:t>. Необходимо регулярно проверять калий в плазме, особенно у пациентов, находящихся в группе риска.</w:t>
      </w:r>
    </w:p>
    <w:p w14:paraId="71253AB5"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 xml:space="preserve">Прослеживаемость </w:t>
      </w:r>
    </w:p>
    <w:p w14:paraId="3C4A38C6" w14:textId="77777777"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Низкомолекулярные гепарины – это биологические лекарственные препараты. Для улучшения прослеживаемости низкомолекулярных гепаринов медработникам рекомендуется записывать в карту пациента торговое название и номер партии введенного препарата.</w:t>
      </w:r>
    </w:p>
    <w:p w14:paraId="0670EA10" w14:textId="77777777" w:rsidR="006156E6" w:rsidRPr="006C4A45" w:rsidRDefault="006156E6" w:rsidP="006156E6">
      <w:pPr>
        <w:spacing w:after="0" w:line="240" w:lineRule="auto"/>
        <w:jc w:val="both"/>
        <w:rPr>
          <w:rFonts w:ascii="Times New Roman" w:eastAsia="Times New Roman" w:hAnsi="Times New Roman" w:cs="Times New Roman"/>
          <w:sz w:val="24"/>
          <w:szCs w:val="24"/>
          <w:u w:val="single"/>
        </w:rPr>
      </w:pPr>
      <w:r w:rsidRPr="006C4A45">
        <w:rPr>
          <w:rFonts w:ascii="Times New Roman" w:eastAsia="Times New Roman" w:hAnsi="Times New Roman" w:cs="Times New Roman"/>
          <w:sz w:val="24"/>
          <w:szCs w:val="24"/>
          <w:u w:val="single"/>
        </w:rPr>
        <w:t>Шкала делений</w:t>
      </w:r>
    </w:p>
    <w:p w14:paraId="34D00B08" w14:textId="46EE3F39" w:rsidR="006156E6" w:rsidRPr="006C4A45" w:rsidRDefault="006156E6"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Предварительно заполненные шприцы препарата </w:t>
      </w:r>
      <w:proofErr w:type="spellStart"/>
      <w:r w:rsidRPr="006C4A45">
        <w:rPr>
          <w:rFonts w:ascii="Times New Roman" w:eastAsia="Times New Roman" w:hAnsi="Times New Roman" w:cs="Times New Roman"/>
          <w:sz w:val="24"/>
          <w:szCs w:val="24"/>
        </w:rPr>
        <w:t>Катенокс</w:t>
      </w:r>
      <w:proofErr w:type="spellEnd"/>
      <w:r w:rsidRPr="006C4A45">
        <w:rPr>
          <w:rFonts w:ascii="Times New Roman" w:eastAsia="Times New Roman" w:hAnsi="Times New Roman" w:cs="Times New Roman"/>
          <w:sz w:val="24"/>
          <w:szCs w:val="24"/>
        </w:rPr>
        <w:t>, раствор для инъекций 2000 анти-Ха МЕ/0.2 мл, 4000 анти-Ха МЕ/0.4 мл не имеют шкалы делений.</w:t>
      </w:r>
    </w:p>
    <w:p w14:paraId="7ADB9F9A" w14:textId="0E20DCBF" w:rsidR="0070705D" w:rsidRPr="006C4A45" w:rsidRDefault="0070705D" w:rsidP="0070705D">
      <w:pPr>
        <w:spacing w:after="0" w:line="240" w:lineRule="auto"/>
        <w:jc w:val="both"/>
        <w:rPr>
          <w:rFonts w:ascii="Times New Roman" w:eastAsia="Times New Roman" w:hAnsi="Times New Roman" w:cs="Times New Roman"/>
          <w:i/>
          <w:iCs/>
          <w:sz w:val="24"/>
          <w:szCs w:val="24"/>
        </w:rPr>
      </w:pPr>
      <w:r w:rsidRPr="006C4A45">
        <w:rPr>
          <w:rFonts w:ascii="Times New Roman" w:eastAsia="Times New Roman" w:hAnsi="Times New Roman" w:cs="Times New Roman"/>
          <w:i/>
          <w:iCs/>
          <w:sz w:val="24"/>
          <w:szCs w:val="24"/>
        </w:rPr>
        <w:t xml:space="preserve">Острый генерализованный </w:t>
      </w:r>
      <w:proofErr w:type="spellStart"/>
      <w:r w:rsidRPr="006C4A45">
        <w:rPr>
          <w:rFonts w:ascii="Times New Roman" w:eastAsia="Times New Roman" w:hAnsi="Times New Roman" w:cs="Times New Roman"/>
          <w:i/>
          <w:iCs/>
          <w:sz w:val="24"/>
          <w:szCs w:val="24"/>
        </w:rPr>
        <w:t>экзантематозный</w:t>
      </w:r>
      <w:proofErr w:type="spellEnd"/>
      <w:r w:rsidRPr="006C4A45">
        <w:rPr>
          <w:rFonts w:ascii="Times New Roman" w:eastAsia="Times New Roman" w:hAnsi="Times New Roman" w:cs="Times New Roman"/>
          <w:i/>
          <w:iCs/>
          <w:sz w:val="24"/>
          <w:szCs w:val="24"/>
        </w:rPr>
        <w:t xml:space="preserve"> </w:t>
      </w:r>
      <w:proofErr w:type="spellStart"/>
      <w:r w:rsidRPr="006C4A45">
        <w:rPr>
          <w:rFonts w:ascii="Times New Roman" w:eastAsia="Times New Roman" w:hAnsi="Times New Roman" w:cs="Times New Roman"/>
          <w:i/>
          <w:iCs/>
          <w:sz w:val="24"/>
          <w:szCs w:val="24"/>
        </w:rPr>
        <w:t>пустулез</w:t>
      </w:r>
      <w:proofErr w:type="spellEnd"/>
    </w:p>
    <w:p w14:paraId="4DA01382" w14:textId="1DC1320D" w:rsidR="0070705D" w:rsidRPr="006C4A45" w:rsidRDefault="0070705D" w:rsidP="006156E6">
      <w:pPr>
        <w:spacing w:after="0" w:line="240" w:lineRule="auto"/>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Острый генерализованный </w:t>
      </w:r>
      <w:proofErr w:type="spellStart"/>
      <w:r w:rsidRPr="006C4A45">
        <w:rPr>
          <w:rFonts w:ascii="Times New Roman" w:eastAsia="Times New Roman" w:hAnsi="Times New Roman" w:cs="Times New Roman"/>
          <w:sz w:val="24"/>
          <w:szCs w:val="24"/>
        </w:rPr>
        <w:t>экзантематозный</w:t>
      </w:r>
      <w:proofErr w:type="spellEnd"/>
      <w:r w:rsidRPr="006C4A45">
        <w:rPr>
          <w:rFonts w:ascii="Times New Roman" w:eastAsia="Times New Roman" w:hAnsi="Times New Roman" w:cs="Times New Roman"/>
          <w:sz w:val="24"/>
          <w:szCs w:val="24"/>
        </w:rPr>
        <w:t xml:space="preserve"> </w:t>
      </w:r>
      <w:proofErr w:type="spellStart"/>
      <w:r w:rsidRPr="006C4A45">
        <w:rPr>
          <w:rFonts w:ascii="Times New Roman" w:eastAsia="Times New Roman" w:hAnsi="Times New Roman" w:cs="Times New Roman"/>
          <w:sz w:val="24"/>
          <w:szCs w:val="24"/>
        </w:rPr>
        <w:t>пустулез</w:t>
      </w:r>
      <w:proofErr w:type="spellEnd"/>
      <w:r w:rsidRPr="006C4A45">
        <w:rPr>
          <w:rFonts w:ascii="Times New Roman" w:eastAsia="Times New Roman" w:hAnsi="Times New Roman" w:cs="Times New Roman"/>
          <w:sz w:val="24"/>
          <w:szCs w:val="24"/>
        </w:rPr>
        <w:t xml:space="preserve"> (AGEP) был зарегистрирован с неизвестной частотой в связи с лечением </w:t>
      </w:r>
      <w:proofErr w:type="spellStart"/>
      <w:r w:rsidRPr="006C4A45">
        <w:rPr>
          <w:rFonts w:ascii="Times New Roman" w:eastAsia="Times New Roman" w:hAnsi="Times New Roman" w:cs="Times New Roman"/>
          <w:sz w:val="24"/>
          <w:szCs w:val="24"/>
        </w:rPr>
        <w:t>эноксапарином</w:t>
      </w:r>
      <w:proofErr w:type="spellEnd"/>
      <w:r w:rsidRPr="006C4A45">
        <w:rPr>
          <w:rFonts w:ascii="Times New Roman" w:eastAsia="Times New Roman" w:hAnsi="Times New Roman" w:cs="Times New Roman"/>
          <w:sz w:val="24"/>
          <w:szCs w:val="24"/>
        </w:rPr>
        <w:t xml:space="preserve">. Во время назначения препарата пациентам следует сообщить о признаках и симптомах и тщательно следить за кожными реакциями. Если появляются признаки и симптомы, указывающие на эти реакции, </w:t>
      </w:r>
      <w:proofErr w:type="spellStart"/>
      <w:r w:rsidRPr="006C4A45">
        <w:rPr>
          <w:rFonts w:ascii="Times New Roman" w:eastAsia="Times New Roman" w:hAnsi="Times New Roman" w:cs="Times New Roman"/>
          <w:sz w:val="24"/>
          <w:szCs w:val="24"/>
        </w:rPr>
        <w:t>эноксапарин</w:t>
      </w:r>
      <w:proofErr w:type="spellEnd"/>
      <w:r w:rsidRPr="006C4A45">
        <w:rPr>
          <w:rFonts w:ascii="Times New Roman" w:eastAsia="Times New Roman" w:hAnsi="Times New Roman" w:cs="Times New Roman"/>
          <w:sz w:val="24"/>
          <w:szCs w:val="24"/>
        </w:rPr>
        <w:t xml:space="preserve"> следует немедленно отменить и рассмотреть альтернативное лечение (по мере необходимости).</w:t>
      </w:r>
    </w:p>
    <w:p w14:paraId="46E079D5" w14:textId="77777777" w:rsidR="0070705D" w:rsidRPr="006C4A45" w:rsidRDefault="0070705D" w:rsidP="006156E6">
      <w:pPr>
        <w:spacing w:after="0" w:line="240" w:lineRule="auto"/>
        <w:jc w:val="both"/>
        <w:rPr>
          <w:rFonts w:ascii="Times New Roman" w:eastAsia="Times New Roman" w:hAnsi="Times New Roman" w:cs="Times New Roman"/>
          <w:sz w:val="24"/>
          <w:szCs w:val="24"/>
        </w:rPr>
      </w:pPr>
    </w:p>
    <w:p w14:paraId="2C43F39F" w14:textId="77777777" w:rsidR="009F7D9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4.5. </w:t>
      </w:r>
      <w:r w:rsidR="009F7D92" w:rsidRPr="006C4A45">
        <w:rPr>
          <w:rFonts w:ascii="Times New Roman" w:hAnsi="Times New Roman" w:cs="Times New Roman"/>
          <w:b/>
          <w:sz w:val="24"/>
          <w:szCs w:val="24"/>
        </w:rPr>
        <w:t>Взаимодействи</w:t>
      </w:r>
      <w:r w:rsidRPr="006C4A45">
        <w:rPr>
          <w:rFonts w:ascii="Times New Roman" w:hAnsi="Times New Roman" w:cs="Times New Roman"/>
          <w:b/>
          <w:sz w:val="24"/>
          <w:szCs w:val="24"/>
        </w:rPr>
        <w:t>я</w:t>
      </w:r>
      <w:r w:rsidR="009F7D92" w:rsidRPr="006C4A45">
        <w:rPr>
          <w:rFonts w:ascii="Times New Roman" w:hAnsi="Times New Roman" w:cs="Times New Roman"/>
          <w:b/>
          <w:sz w:val="24"/>
          <w:szCs w:val="24"/>
        </w:rPr>
        <w:t xml:space="preserve"> с другими лекарственными препаратами и другие виды взаимодействия.</w:t>
      </w:r>
    </w:p>
    <w:p w14:paraId="45E5D9B4" w14:textId="77777777" w:rsidR="006B795A" w:rsidRPr="006C4A45" w:rsidRDefault="006B795A" w:rsidP="006B795A">
      <w:pPr>
        <w:spacing w:after="0" w:line="240" w:lineRule="auto"/>
        <w:jc w:val="both"/>
        <w:rPr>
          <w:rFonts w:ascii="Times New Roman" w:eastAsia="Times New Roman" w:hAnsi="Times New Roman" w:cs="Times New Roman"/>
          <w:i/>
          <w:color w:val="000000"/>
          <w:sz w:val="24"/>
          <w:szCs w:val="24"/>
          <w:u w:val="single"/>
          <w:lang w:eastAsia="hu-HU"/>
        </w:rPr>
      </w:pPr>
      <w:r w:rsidRPr="006C4A45">
        <w:rPr>
          <w:rFonts w:ascii="Times New Roman" w:eastAsia="Times New Roman" w:hAnsi="Times New Roman" w:cs="Times New Roman"/>
          <w:i/>
          <w:color w:val="000000"/>
          <w:sz w:val="24"/>
          <w:szCs w:val="24"/>
          <w:u w:val="single"/>
          <w:lang w:eastAsia="hu-HU"/>
        </w:rPr>
        <w:t>Нерекомендуемые комбинации</w:t>
      </w:r>
    </w:p>
    <w:p w14:paraId="1DDD980C" w14:textId="4CCAA72E" w:rsidR="006B795A" w:rsidRPr="006C4A45" w:rsidRDefault="006B795A" w:rsidP="006B795A">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b/>
          <w:sz w:val="24"/>
          <w:szCs w:val="24"/>
          <w:lang w:eastAsia="hu-HU"/>
        </w:rPr>
        <w:t xml:space="preserve">- </w:t>
      </w:r>
      <w:r w:rsidRPr="006C4A45">
        <w:rPr>
          <w:rFonts w:ascii="Times New Roman" w:eastAsia="Times New Roman" w:hAnsi="Times New Roman" w:cs="Times New Roman"/>
          <w:sz w:val="24"/>
          <w:szCs w:val="24"/>
          <w:lang w:eastAsia="hu-HU"/>
        </w:rPr>
        <w:t>препараты, влияющие на гемостаз</w:t>
      </w:r>
      <w:r w:rsidR="0070705D" w:rsidRPr="006C4A45">
        <w:rPr>
          <w:rFonts w:ascii="Times New Roman" w:eastAsia="Times New Roman" w:hAnsi="Times New Roman" w:cs="Times New Roman"/>
          <w:sz w:val="24"/>
          <w:szCs w:val="24"/>
          <w:lang w:eastAsia="hu-HU"/>
        </w:rPr>
        <w:t xml:space="preserve"> (см. раздел 4.4)</w:t>
      </w:r>
    </w:p>
    <w:p w14:paraId="591ECD0A" w14:textId="77777777" w:rsidR="006B795A" w:rsidRPr="006C4A45" w:rsidRDefault="006B795A" w:rsidP="006B795A">
      <w:pPr>
        <w:spacing w:after="0" w:line="240" w:lineRule="auto"/>
        <w:jc w:val="both"/>
        <w:rPr>
          <w:rFonts w:ascii="Times New Roman" w:eastAsia="Times New Roman" w:hAnsi="Times New Roman" w:cs="Times New Roman"/>
          <w:b/>
          <w:sz w:val="24"/>
          <w:szCs w:val="24"/>
          <w:lang w:eastAsia="hu-HU"/>
        </w:rPr>
      </w:pPr>
      <w:r w:rsidRPr="006C4A45">
        <w:rPr>
          <w:rFonts w:ascii="Times New Roman" w:eastAsia="Times New Roman" w:hAnsi="Times New Roman" w:cs="Times New Roman"/>
          <w:sz w:val="24"/>
          <w:szCs w:val="24"/>
          <w:lang w:eastAsia="hu-HU"/>
        </w:rPr>
        <w:t xml:space="preserve">Рекомендуется прекращение приема некоторых препаратов, влияющих на гемостаз, до начала лечения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за исключением случаев, когда их применение является строго показанным. Если показаны комбинации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с этими препаратами, то </w:t>
      </w:r>
      <w:proofErr w:type="spellStart"/>
      <w:r w:rsidRPr="006C4A45">
        <w:rPr>
          <w:rFonts w:ascii="Times New Roman" w:eastAsia="Times New Roman" w:hAnsi="Times New Roman" w:cs="Times New Roman"/>
          <w:sz w:val="24"/>
          <w:szCs w:val="24"/>
          <w:lang w:eastAsia="hu-HU"/>
        </w:rPr>
        <w:t>эноксапарин</w:t>
      </w:r>
      <w:proofErr w:type="spellEnd"/>
      <w:r w:rsidRPr="006C4A45">
        <w:rPr>
          <w:rFonts w:ascii="Times New Roman" w:eastAsia="Times New Roman" w:hAnsi="Times New Roman" w:cs="Times New Roman"/>
          <w:sz w:val="24"/>
          <w:szCs w:val="24"/>
          <w:lang w:eastAsia="hu-HU"/>
        </w:rPr>
        <w:t xml:space="preserve"> натрия следует применять с тщательным клиническим наблюдением и мониторингом соответствующих лабораторных показателей.  </w:t>
      </w:r>
    </w:p>
    <w:p w14:paraId="0DACD9D1" w14:textId="77777777" w:rsidR="006B795A" w:rsidRPr="006C4A45" w:rsidRDefault="006B795A" w:rsidP="006B795A">
      <w:pPr>
        <w:keepNext/>
        <w:tabs>
          <w:tab w:val="left" w:pos="567"/>
        </w:tabs>
        <w:spacing w:after="0" w:line="240" w:lineRule="auto"/>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К таким веществам относятся следующие препараты:</w:t>
      </w:r>
    </w:p>
    <w:p w14:paraId="3B2CF0F5" w14:textId="77777777" w:rsidR="006B795A" w:rsidRPr="006C4A45" w:rsidRDefault="006B795A" w:rsidP="006B795A">
      <w:pPr>
        <w:keepNext/>
        <w:numPr>
          <w:ilvl w:val="0"/>
          <w:numId w:val="24"/>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6C4A45">
        <w:rPr>
          <w:rFonts w:ascii="Times New Roman" w:eastAsia="Times New Roman" w:hAnsi="Times New Roman" w:cs="Times New Roman"/>
          <w:sz w:val="24"/>
          <w:szCs w:val="24"/>
        </w:rPr>
        <w:t xml:space="preserve">системные салицилаты, ацетилсалициловая кислота (противовоспалительная доза) и нестероидные противовоспалительные препараты, включая </w:t>
      </w:r>
      <w:proofErr w:type="spellStart"/>
      <w:r w:rsidRPr="006C4A45">
        <w:rPr>
          <w:rFonts w:ascii="Times New Roman" w:eastAsia="Times New Roman" w:hAnsi="Times New Roman" w:cs="Times New Roman"/>
          <w:sz w:val="24"/>
          <w:szCs w:val="24"/>
        </w:rPr>
        <w:t>кеторолак</w:t>
      </w:r>
      <w:proofErr w:type="spellEnd"/>
      <w:r w:rsidRPr="006C4A45">
        <w:rPr>
          <w:rFonts w:ascii="Times New Roman" w:eastAsia="Times New Roman" w:hAnsi="Times New Roman" w:cs="Times New Roman"/>
          <w:sz w:val="24"/>
          <w:szCs w:val="24"/>
        </w:rPr>
        <w:t xml:space="preserve">; </w:t>
      </w:r>
    </w:p>
    <w:p w14:paraId="4624AC2A" w14:textId="00FFAA35" w:rsidR="006B795A" w:rsidRPr="006C4A45" w:rsidRDefault="006B795A" w:rsidP="006B795A">
      <w:pPr>
        <w:keepNext/>
        <w:numPr>
          <w:ilvl w:val="0"/>
          <w:numId w:val="24"/>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6C4A45">
        <w:rPr>
          <w:rFonts w:ascii="Times New Roman" w:eastAsia="MS Mincho" w:hAnsi="Times New Roman" w:cs="Times New Roman"/>
          <w:color w:val="000000"/>
          <w:sz w:val="24"/>
          <w:szCs w:val="24"/>
        </w:rPr>
        <w:t xml:space="preserve">другие </w:t>
      </w:r>
      <w:proofErr w:type="spellStart"/>
      <w:r w:rsidRPr="006C4A45">
        <w:rPr>
          <w:rFonts w:ascii="Times New Roman" w:eastAsia="MS Mincho" w:hAnsi="Times New Roman" w:cs="Times New Roman"/>
          <w:color w:val="000000"/>
          <w:sz w:val="24"/>
          <w:szCs w:val="24"/>
        </w:rPr>
        <w:t>тромболитики</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альтеплаза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ретеплаза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стрептокиназа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тенектеплаза</w:t>
      </w:r>
      <w:proofErr w:type="spellEnd"/>
      <w:r w:rsidRPr="006C4A45">
        <w:rPr>
          <w:rFonts w:ascii="Times New Roman" w:eastAsia="MS Mincho" w:hAnsi="Times New Roman" w:cs="Times New Roman"/>
          <w:color w:val="000000"/>
          <w:sz w:val="24"/>
          <w:szCs w:val="24"/>
        </w:rPr>
        <w:t xml:space="preserve">, </w:t>
      </w:r>
      <w:proofErr w:type="spellStart"/>
      <w:r w:rsidRPr="006C4A45">
        <w:rPr>
          <w:rFonts w:ascii="Times New Roman" w:eastAsia="MS Mincho" w:hAnsi="Times New Roman" w:cs="Times New Roman"/>
          <w:color w:val="000000"/>
          <w:sz w:val="24"/>
          <w:szCs w:val="24"/>
        </w:rPr>
        <w:t>урокиназа</w:t>
      </w:r>
      <w:proofErr w:type="spellEnd"/>
      <w:r w:rsidRPr="006C4A45">
        <w:rPr>
          <w:rFonts w:ascii="Times New Roman" w:eastAsia="MS Mincho" w:hAnsi="Times New Roman" w:cs="Times New Roman"/>
          <w:color w:val="000000"/>
          <w:sz w:val="24"/>
          <w:szCs w:val="24"/>
        </w:rPr>
        <w:t>) и антикоагулянты</w:t>
      </w:r>
      <w:r w:rsidR="009500DB" w:rsidRPr="006C4A45">
        <w:rPr>
          <w:rFonts w:ascii="Times New Roman" w:eastAsia="MS Mincho" w:hAnsi="Times New Roman" w:cs="Times New Roman"/>
          <w:color w:val="000000"/>
          <w:sz w:val="24"/>
          <w:szCs w:val="24"/>
        </w:rPr>
        <w:t xml:space="preserve"> (см. раздел 4.2)</w:t>
      </w:r>
      <w:r w:rsidRPr="006C4A45">
        <w:rPr>
          <w:rFonts w:ascii="Times New Roman" w:eastAsia="MS Mincho" w:hAnsi="Times New Roman" w:cs="Times New Roman"/>
          <w:color w:val="000000"/>
          <w:sz w:val="24"/>
          <w:szCs w:val="24"/>
        </w:rPr>
        <w:t>.</w:t>
      </w:r>
    </w:p>
    <w:p w14:paraId="07ED93D7" w14:textId="77777777" w:rsidR="006B795A" w:rsidRPr="006C4A45" w:rsidRDefault="006B795A" w:rsidP="006B795A">
      <w:pPr>
        <w:tabs>
          <w:tab w:val="left" w:pos="567"/>
        </w:tabs>
        <w:spacing w:after="0" w:line="240" w:lineRule="auto"/>
        <w:jc w:val="both"/>
        <w:rPr>
          <w:rFonts w:ascii="Times New Roman" w:eastAsia="Times New Roman" w:hAnsi="Times New Roman" w:cs="Times New Roman"/>
          <w:i/>
          <w:sz w:val="24"/>
          <w:szCs w:val="24"/>
          <w:u w:val="single"/>
          <w:lang w:eastAsia="hu-HU"/>
        </w:rPr>
      </w:pPr>
      <w:r w:rsidRPr="006C4A45">
        <w:rPr>
          <w:rFonts w:ascii="Times New Roman" w:eastAsia="Times New Roman" w:hAnsi="Times New Roman" w:cs="Times New Roman"/>
          <w:i/>
          <w:sz w:val="24"/>
          <w:szCs w:val="24"/>
          <w:u w:val="single"/>
          <w:lang w:eastAsia="hu-HU"/>
        </w:rPr>
        <w:t>Применение с осторожностью</w:t>
      </w:r>
    </w:p>
    <w:p w14:paraId="404D44A5" w14:textId="77777777" w:rsidR="006B795A" w:rsidRPr="006C4A45" w:rsidRDefault="006B795A" w:rsidP="006B795A">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Следующие препараты можно применять с осторожностью одновременно с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w:t>
      </w:r>
    </w:p>
    <w:p w14:paraId="6F4F47DA" w14:textId="77777777" w:rsidR="006B795A" w:rsidRPr="006C4A45" w:rsidRDefault="006B795A" w:rsidP="006B795A">
      <w:pPr>
        <w:keepNext/>
        <w:tabs>
          <w:tab w:val="left" w:pos="567"/>
        </w:tabs>
        <w:spacing w:after="0" w:line="240" w:lineRule="auto"/>
        <w:contextualSpacing/>
        <w:jc w:val="both"/>
        <w:rPr>
          <w:rFonts w:ascii="Times New Roman" w:eastAsia="Times New Roman" w:hAnsi="Times New Roman" w:cs="Times New Roman"/>
          <w:i/>
          <w:sz w:val="24"/>
          <w:szCs w:val="24"/>
        </w:rPr>
      </w:pPr>
      <w:r w:rsidRPr="006C4A45">
        <w:rPr>
          <w:rFonts w:ascii="Times New Roman" w:eastAsia="Times New Roman" w:hAnsi="Times New Roman" w:cs="Times New Roman"/>
          <w:i/>
          <w:sz w:val="24"/>
          <w:szCs w:val="24"/>
        </w:rPr>
        <w:t>Другие препараты, влияющие на гемостаз:</w:t>
      </w:r>
    </w:p>
    <w:p w14:paraId="4F847533" w14:textId="77777777" w:rsidR="006B795A" w:rsidRPr="006C4A45" w:rsidRDefault="006B795A" w:rsidP="006B795A">
      <w:pPr>
        <w:numPr>
          <w:ilvl w:val="0"/>
          <w:numId w:val="23"/>
        </w:numPr>
        <w:autoSpaceDE w:val="0"/>
        <w:autoSpaceDN w:val="0"/>
        <w:adjustRightInd w:val="0"/>
        <w:spacing w:after="0" w:line="240" w:lineRule="auto"/>
        <w:ind w:left="0" w:firstLine="426"/>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ингибиторы агрегации тромбоцитов, в том числе ацетилсалициловая кислота в </w:t>
      </w:r>
      <w:proofErr w:type="spellStart"/>
      <w:r w:rsidRPr="006C4A45">
        <w:rPr>
          <w:rFonts w:ascii="Times New Roman" w:eastAsia="Times New Roman" w:hAnsi="Times New Roman" w:cs="Times New Roman"/>
          <w:color w:val="000000"/>
          <w:sz w:val="24"/>
          <w:szCs w:val="24"/>
          <w:lang w:eastAsia="ru-RU"/>
        </w:rPr>
        <w:t>антиагрегантной</w:t>
      </w:r>
      <w:proofErr w:type="spellEnd"/>
      <w:r w:rsidRPr="006C4A45">
        <w:rPr>
          <w:rFonts w:ascii="Times New Roman" w:eastAsia="Times New Roman" w:hAnsi="Times New Roman" w:cs="Times New Roman"/>
          <w:color w:val="000000"/>
          <w:sz w:val="24"/>
          <w:szCs w:val="24"/>
          <w:lang w:eastAsia="ru-RU"/>
        </w:rPr>
        <w:t xml:space="preserve"> дозе (</w:t>
      </w:r>
      <w:proofErr w:type="spellStart"/>
      <w:r w:rsidRPr="006C4A45">
        <w:rPr>
          <w:rFonts w:ascii="Times New Roman" w:eastAsia="Times New Roman" w:hAnsi="Times New Roman" w:cs="Times New Roman"/>
          <w:color w:val="000000"/>
          <w:sz w:val="24"/>
          <w:szCs w:val="24"/>
          <w:lang w:eastAsia="ru-RU"/>
        </w:rPr>
        <w:t>кардиопротекция</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клопидогрел</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тиклопидин</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антогонисты</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lastRenderedPageBreak/>
        <w:t>гликопротеиновых</w:t>
      </w:r>
      <w:proofErr w:type="spellEnd"/>
      <w:r w:rsidRPr="006C4A45">
        <w:rPr>
          <w:rFonts w:ascii="Times New Roman" w:eastAsia="Times New Roman" w:hAnsi="Times New Roman" w:cs="Times New Roman"/>
          <w:color w:val="000000"/>
          <w:sz w:val="24"/>
          <w:szCs w:val="24"/>
          <w:lang w:eastAsia="ru-RU"/>
        </w:rPr>
        <w:t xml:space="preserve"> рецепторов </w:t>
      </w:r>
      <w:r w:rsidRPr="006C4A45">
        <w:rPr>
          <w:rFonts w:ascii="Times New Roman" w:eastAsia="Times New Roman" w:hAnsi="Times New Roman" w:cs="Times New Roman"/>
          <w:color w:val="000000"/>
          <w:sz w:val="24"/>
          <w:szCs w:val="24"/>
          <w:lang w:val="en-US" w:eastAsia="ru-RU"/>
        </w:rPr>
        <w:t>IIb</w:t>
      </w:r>
      <w:r w:rsidRPr="006C4A45">
        <w:rPr>
          <w:rFonts w:ascii="Times New Roman" w:eastAsia="Times New Roman" w:hAnsi="Times New Roman" w:cs="Times New Roman"/>
          <w:color w:val="000000"/>
          <w:sz w:val="24"/>
          <w:szCs w:val="24"/>
          <w:lang w:eastAsia="ru-RU"/>
        </w:rPr>
        <w:t>/</w:t>
      </w:r>
      <w:r w:rsidRPr="006C4A45">
        <w:rPr>
          <w:rFonts w:ascii="Times New Roman" w:eastAsia="Times New Roman" w:hAnsi="Times New Roman" w:cs="Times New Roman"/>
          <w:color w:val="000000"/>
          <w:sz w:val="24"/>
          <w:szCs w:val="24"/>
          <w:lang w:val="en-US" w:eastAsia="ru-RU"/>
        </w:rPr>
        <w:t>IIIa</w:t>
      </w:r>
      <w:r w:rsidRPr="006C4A45">
        <w:rPr>
          <w:rFonts w:ascii="Times New Roman" w:eastAsia="Times New Roman" w:hAnsi="Times New Roman" w:cs="Times New Roman"/>
          <w:color w:val="000000"/>
          <w:sz w:val="24"/>
          <w:szCs w:val="24"/>
          <w:lang w:eastAsia="ru-RU"/>
        </w:rPr>
        <w:t>, показанные при остром коронарном синдроме в связи риском кровотечения</w:t>
      </w:r>
    </w:p>
    <w:p w14:paraId="2790FADF" w14:textId="7664397B" w:rsidR="006B795A" w:rsidRPr="006C4A45" w:rsidRDefault="009500DB" w:rsidP="007A4370">
      <w:pPr>
        <w:keepNext/>
        <w:tabs>
          <w:tab w:val="left" w:pos="851"/>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ru-RU"/>
        </w:rPr>
      </w:pPr>
      <w:r w:rsidRPr="006C4A45">
        <w:rPr>
          <w:rFonts w:ascii="Times New Roman" w:eastAsia="MS Mincho" w:hAnsi="Times New Roman" w:cs="Times New Roman"/>
          <w:color w:val="000000"/>
          <w:sz w:val="24"/>
          <w:szCs w:val="24"/>
          <w:lang w:eastAsia="ru-RU"/>
        </w:rPr>
        <w:t>-</w:t>
      </w:r>
      <w:r w:rsidR="007A4370" w:rsidRPr="006C4A45">
        <w:rPr>
          <w:rFonts w:ascii="Times New Roman" w:eastAsia="MS Mincho" w:hAnsi="Times New Roman" w:cs="Times New Roman"/>
          <w:color w:val="000000"/>
          <w:sz w:val="24"/>
          <w:szCs w:val="24"/>
          <w:lang w:eastAsia="ru-RU"/>
        </w:rPr>
        <w:t xml:space="preserve"> </w:t>
      </w:r>
      <w:r w:rsidR="006B795A" w:rsidRPr="006C4A45">
        <w:rPr>
          <w:rFonts w:ascii="Times New Roman" w:eastAsia="MS Mincho" w:hAnsi="Times New Roman" w:cs="Times New Roman"/>
          <w:color w:val="000000"/>
          <w:sz w:val="24"/>
          <w:szCs w:val="24"/>
          <w:lang w:eastAsia="ru-RU"/>
        </w:rPr>
        <w:t>декстран 40</w:t>
      </w:r>
    </w:p>
    <w:p w14:paraId="7FF51294" w14:textId="7DFE193E" w:rsidR="006B795A" w:rsidRPr="006C4A45" w:rsidRDefault="009500DB" w:rsidP="009500DB">
      <w:pPr>
        <w:keepNext/>
        <w:tabs>
          <w:tab w:val="left" w:pos="567"/>
          <w:tab w:val="left" w:pos="851"/>
        </w:tabs>
        <w:autoSpaceDE w:val="0"/>
        <w:autoSpaceDN w:val="0"/>
        <w:adjustRightInd w:val="0"/>
        <w:spacing w:after="0" w:line="240" w:lineRule="auto"/>
        <w:ind w:left="426"/>
        <w:jc w:val="both"/>
        <w:rPr>
          <w:rFonts w:ascii="Times New Roman" w:eastAsia="Times New Roman" w:hAnsi="Times New Roman" w:cs="Times New Roman"/>
          <w:i/>
          <w:color w:val="000000"/>
          <w:sz w:val="24"/>
          <w:szCs w:val="24"/>
          <w:lang w:eastAsia="ru-RU"/>
        </w:rPr>
      </w:pPr>
      <w:r w:rsidRPr="006C4A45">
        <w:rPr>
          <w:rFonts w:ascii="Times New Roman" w:eastAsia="MS Mincho" w:hAnsi="Times New Roman" w:cs="Times New Roman"/>
          <w:color w:val="000000"/>
          <w:sz w:val="24"/>
          <w:szCs w:val="24"/>
          <w:lang w:eastAsia="ru-RU"/>
        </w:rPr>
        <w:t>-</w:t>
      </w:r>
      <w:r w:rsidR="007A4370" w:rsidRPr="006C4A45">
        <w:rPr>
          <w:rFonts w:ascii="Times New Roman" w:eastAsia="MS Mincho" w:hAnsi="Times New Roman" w:cs="Times New Roman"/>
          <w:color w:val="000000"/>
          <w:sz w:val="24"/>
          <w:szCs w:val="24"/>
          <w:lang w:eastAsia="ru-RU"/>
        </w:rPr>
        <w:t xml:space="preserve"> </w:t>
      </w:r>
      <w:r w:rsidR="006B795A" w:rsidRPr="006C4A45">
        <w:rPr>
          <w:rFonts w:ascii="Times New Roman" w:eastAsia="MS Mincho" w:hAnsi="Times New Roman" w:cs="Times New Roman"/>
          <w:color w:val="000000"/>
          <w:sz w:val="24"/>
          <w:szCs w:val="24"/>
          <w:lang w:eastAsia="ru-RU"/>
        </w:rPr>
        <w:t>системные глюкокортикоиды</w:t>
      </w:r>
    </w:p>
    <w:p w14:paraId="77D6A23C" w14:textId="77777777" w:rsidR="006B795A" w:rsidRPr="006C4A45" w:rsidRDefault="006B795A" w:rsidP="006B795A">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i/>
          <w:color w:val="000000"/>
          <w:sz w:val="24"/>
          <w:szCs w:val="24"/>
          <w:lang w:eastAsia="ru-RU"/>
        </w:rPr>
        <w:t>Препараты, увеличивающие уровни калия:</w:t>
      </w:r>
    </w:p>
    <w:p w14:paraId="001ADC59" w14:textId="439B781F" w:rsidR="006B795A" w:rsidRPr="006C4A45" w:rsidRDefault="006B795A" w:rsidP="006B79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препараты, увеличивающие уровни калия в сыворотке, можно применять одновременно с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под тщательным клиническим наблюдением и контролем лабораторных показателей</w:t>
      </w:r>
      <w:r w:rsidR="009500DB" w:rsidRPr="006C4A45">
        <w:rPr>
          <w:rFonts w:ascii="Times New Roman" w:eastAsia="Times New Roman" w:hAnsi="Times New Roman" w:cs="Times New Roman"/>
          <w:color w:val="000000"/>
          <w:sz w:val="24"/>
          <w:szCs w:val="24"/>
          <w:lang w:eastAsia="ru-RU"/>
        </w:rPr>
        <w:t xml:space="preserve"> (см. раздел 4.4 и 4.8)</w:t>
      </w:r>
      <w:r w:rsidRPr="006C4A45">
        <w:rPr>
          <w:rFonts w:ascii="Times New Roman" w:eastAsia="Times New Roman" w:hAnsi="Times New Roman" w:cs="Times New Roman"/>
          <w:color w:val="000000"/>
          <w:sz w:val="24"/>
          <w:szCs w:val="24"/>
          <w:lang w:eastAsia="ru-RU"/>
        </w:rPr>
        <w:t>.</w:t>
      </w:r>
    </w:p>
    <w:p w14:paraId="21840240" w14:textId="77777777" w:rsidR="0031198A" w:rsidRPr="006C4A45" w:rsidRDefault="0031198A" w:rsidP="00A75F5E">
      <w:pPr>
        <w:spacing w:after="0" w:line="240" w:lineRule="auto"/>
        <w:jc w:val="both"/>
        <w:rPr>
          <w:rFonts w:ascii="Times New Roman" w:eastAsia="Calibri" w:hAnsi="Times New Roman" w:cs="Times New Roman"/>
          <w:b/>
          <w:sz w:val="20"/>
          <w:szCs w:val="20"/>
        </w:rPr>
      </w:pPr>
    </w:p>
    <w:p w14:paraId="60570267" w14:textId="77777777" w:rsidR="009C166C" w:rsidRPr="006C4A45" w:rsidRDefault="00E015F8" w:rsidP="00A75F5E">
      <w:pPr>
        <w:spacing w:after="0" w:line="240" w:lineRule="auto"/>
        <w:jc w:val="both"/>
        <w:rPr>
          <w:rFonts w:ascii="Times New Roman" w:eastAsia="Calibri" w:hAnsi="Times New Roman" w:cs="Times New Roman"/>
          <w:b/>
          <w:sz w:val="20"/>
          <w:szCs w:val="20"/>
        </w:rPr>
      </w:pPr>
      <w:r w:rsidRPr="006C4A45">
        <w:rPr>
          <w:rFonts w:ascii="Times New Roman" w:hAnsi="Times New Roman" w:cs="Times New Roman"/>
          <w:b/>
          <w:sz w:val="24"/>
          <w:szCs w:val="24"/>
        </w:rPr>
        <w:t>4.6. Фертил</w:t>
      </w:r>
      <w:r w:rsidR="0031198A" w:rsidRPr="006C4A45">
        <w:rPr>
          <w:rFonts w:ascii="Times New Roman" w:hAnsi="Times New Roman" w:cs="Times New Roman"/>
          <w:b/>
          <w:sz w:val="24"/>
          <w:szCs w:val="24"/>
        </w:rPr>
        <w:t>ьность, беременность и лактация</w:t>
      </w:r>
    </w:p>
    <w:p w14:paraId="050417A4" w14:textId="77777777" w:rsidR="0093645F" w:rsidRPr="006C4A45" w:rsidRDefault="0093645F" w:rsidP="0093645F">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 xml:space="preserve">Во время беременности </w:t>
      </w:r>
    </w:p>
    <w:p w14:paraId="090BA97A" w14:textId="3E5C1B4C"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Сведений о том, что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проникает через плацентарный барьер во время второго и третьего триместра беременности у человека, нет. Отсутствует соответствующая информация относительно первого триместра беременности. </w:t>
      </w:r>
    </w:p>
    <w:p w14:paraId="7B258A89" w14:textId="49ADC7DD" w:rsidR="009500DB" w:rsidRPr="006C4A45" w:rsidRDefault="009500DB"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Исследования на животных не выявили никаких признаков </w:t>
      </w:r>
      <w:proofErr w:type="spellStart"/>
      <w:r w:rsidRPr="006C4A45">
        <w:rPr>
          <w:rFonts w:ascii="Times New Roman" w:eastAsia="Calibri" w:hAnsi="Times New Roman" w:cs="Times New Roman"/>
          <w:sz w:val="24"/>
          <w:szCs w:val="24"/>
        </w:rPr>
        <w:t>фетотоксичности</w:t>
      </w:r>
      <w:proofErr w:type="spellEnd"/>
      <w:r w:rsidRPr="006C4A45">
        <w:rPr>
          <w:rFonts w:ascii="Times New Roman" w:eastAsia="Calibri" w:hAnsi="Times New Roman" w:cs="Times New Roman"/>
          <w:sz w:val="24"/>
          <w:szCs w:val="24"/>
        </w:rPr>
        <w:t xml:space="preserve"> или </w:t>
      </w:r>
      <w:proofErr w:type="spellStart"/>
      <w:r w:rsidRPr="006C4A45">
        <w:rPr>
          <w:rFonts w:ascii="Times New Roman" w:eastAsia="Calibri" w:hAnsi="Times New Roman" w:cs="Times New Roman"/>
          <w:sz w:val="24"/>
          <w:szCs w:val="24"/>
        </w:rPr>
        <w:t>тератогенности</w:t>
      </w:r>
      <w:proofErr w:type="spellEnd"/>
      <w:r w:rsidRPr="006C4A45">
        <w:rPr>
          <w:rFonts w:ascii="Times New Roman" w:eastAsia="Calibri" w:hAnsi="Times New Roman" w:cs="Times New Roman"/>
          <w:sz w:val="24"/>
          <w:szCs w:val="24"/>
        </w:rPr>
        <w:t xml:space="preserve"> (см. раздел 5.3). Данные, полученные на животных, показали, что прохождение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через плаценту минимально.</w:t>
      </w:r>
    </w:p>
    <w:p w14:paraId="1F7157F5" w14:textId="77777777" w:rsidR="0093645F" w:rsidRPr="006C4A45" w:rsidRDefault="0093645F" w:rsidP="0093645F">
      <w:pPr>
        <w:spacing w:after="0" w:line="240" w:lineRule="auto"/>
        <w:jc w:val="both"/>
        <w:rPr>
          <w:rFonts w:ascii="Times New Roman" w:eastAsia="Calibri" w:hAnsi="Times New Roman" w:cs="Times New Roman"/>
          <w:sz w:val="24"/>
          <w:szCs w:val="24"/>
        </w:rPr>
      </w:pP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во время беременности следует применять только в тех случаях, когда имеется настоятельная необходимость его применения, установленная врачом.  </w:t>
      </w:r>
    </w:p>
    <w:p w14:paraId="5A48130A" w14:textId="4231DB5F"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За беременными женщинами, получающими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следует вести тщательное наблюдение на предмет появления признаков кровотечения или избыточной </w:t>
      </w:r>
      <w:proofErr w:type="spellStart"/>
      <w:r w:rsidRPr="006C4A45">
        <w:rPr>
          <w:rFonts w:ascii="Times New Roman" w:eastAsia="Calibri" w:hAnsi="Times New Roman" w:cs="Times New Roman"/>
          <w:sz w:val="24"/>
          <w:szCs w:val="24"/>
        </w:rPr>
        <w:t>антикоагуляции</w:t>
      </w:r>
      <w:proofErr w:type="spellEnd"/>
      <w:r w:rsidRPr="006C4A45">
        <w:rPr>
          <w:rFonts w:ascii="Times New Roman" w:eastAsia="Calibri" w:hAnsi="Times New Roman" w:cs="Times New Roman"/>
          <w:sz w:val="24"/>
          <w:szCs w:val="24"/>
        </w:rPr>
        <w:t>. Женщин необходимо предупредить о риске кровотечения. В целом, согласно данным, нет доказательства увеличения риска кровотечения, тромбоцитопении и остеопороза по отношению к риску для небеременных женщин, кроме риска, существующего для беременных женщин с искусственными клапанами сердца</w:t>
      </w:r>
      <w:r w:rsidR="009500DB" w:rsidRPr="006C4A45">
        <w:rPr>
          <w:rFonts w:ascii="Times New Roman" w:eastAsia="Calibri" w:hAnsi="Times New Roman" w:cs="Times New Roman"/>
          <w:sz w:val="24"/>
          <w:szCs w:val="24"/>
        </w:rPr>
        <w:t xml:space="preserve"> (см. раздел 4.4)</w:t>
      </w:r>
      <w:r w:rsidRPr="006C4A45">
        <w:rPr>
          <w:rFonts w:ascii="Times New Roman" w:eastAsia="Calibri" w:hAnsi="Times New Roman" w:cs="Times New Roman"/>
          <w:sz w:val="24"/>
          <w:szCs w:val="24"/>
        </w:rPr>
        <w:t xml:space="preserve">. </w:t>
      </w:r>
    </w:p>
    <w:p w14:paraId="1A0F59F3" w14:textId="77777777" w:rsidR="00616F9A" w:rsidRPr="006C4A45" w:rsidRDefault="00616F9A"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Однако, если планируется эпидуральная анестезия, профилактическое лечение гепарином следует прекратить, если это возможно, по крайней мере, за 12 часов до анестезии. </w:t>
      </w:r>
    </w:p>
    <w:p w14:paraId="59FA87A8" w14:textId="77777777" w:rsidR="0093645F" w:rsidRPr="006C4A45" w:rsidRDefault="0093645F" w:rsidP="0093645F">
      <w:pPr>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Лактация</w:t>
      </w:r>
    </w:p>
    <w:p w14:paraId="7B3323B3" w14:textId="77777777" w:rsidR="0093645F" w:rsidRPr="006C4A45" w:rsidRDefault="0093645F" w:rsidP="0093645F">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Неизвестно, выделяется ли неизмененный </w:t>
      </w:r>
      <w:proofErr w:type="spellStart"/>
      <w:r w:rsidRPr="006C4A45">
        <w:rPr>
          <w:rFonts w:ascii="Times New Roman" w:eastAsia="Calibri" w:hAnsi="Times New Roman" w:cs="Times New Roman"/>
          <w:sz w:val="24"/>
          <w:szCs w:val="24"/>
        </w:rPr>
        <w:t>эноксапарин</w:t>
      </w:r>
      <w:proofErr w:type="spellEnd"/>
      <w:r w:rsidRPr="006C4A45">
        <w:rPr>
          <w:rFonts w:ascii="Times New Roman" w:eastAsia="Calibri" w:hAnsi="Times New Roman" w:cs="Times New Roman"/>
          <w:sz w:val="24"/>
          <w:szCs w:val="24"/>
        </w:rPr>
        <w:t xml:space="preserve"> натрия в грудное молоко у человека. Пероральное всасывание </w:t>
      </w:r>
      <w:proofErr w:type="spellStart"/>
      <w:r w:rsidRPr="006C4A45">
        <w:rPr>
          <w:rFonts w:ascii="Times New Roman" w:eastAsia="Calibri" w:hAnsi="Times New Roman" w:cs="Times New Roman"/>
          <w:sz w:val="24"/>
          <w:szCs w:val="24"/>
        </w:rPr>
        <w:t>эноксапарина</w:t>
      </w:r>
      <w:proofErr w:type="spellEnd"/>
      <w:r w:rsidRPr="006C4A45">
        <w:rPr>
          <w:rFonts w:ascii="Times New Roman" w:eastAsia="Calibri" w:hAnsi="Times New Roman" w:cs="Times New Roman"/>
          <w:sz w:val="24"/>
          <w:szCs w:val="24"/>
        </w:rPr>
        <w:t xml:space="preserve"> натрия маловероятно. </w:t>
      </w:r>
      <w:proofErr w:type="spellStart"/>
      <w:r w:rsidRPr="006C4A45">
        <w:rPr>
          <w:rFonts w:ascii="Times New Roman" w:eastAsia="Calibri" w:hAnsi="Times New Roman" w:cs="Times New Roman"/>
          <w:sz w:val="24"/>
          <w:szCs w:val="24"/>
        </w:rPr>
        <w:t>Катенокс</w:t>
      </w:r>
      <w:proofErr w:type="spellEnd"/>
      <w:r w:rsidRPr="006C4A45">
        <w:rPr>
          <w:rFonts w:ascii="Times New Roman" w:eastAsia="Calibri" w:hAnsi="Times New Roman" w:cs="Times New Roman"/>
          <w:sz w:val="24"/>
          <w:szCs w:val="24"/>
        </w:rPr>
        <w:t xml:space="preserve"> можно применять во время грудного вскармливания.</w:t>
      </w:r>
    </w:p>
    <w:p w14:paraId="73ED8AE7" w14:textId="77777777" w:rsidR="0093645F" w:rsidRPr="006C4A45" w:rsidRDefault="0093645F" w:rsidP="0093645F">
      <w:pPr>
        <w:spacing w:after="0" w:line="240" w:lineRule="auto"/>
        <w:jc w:val="both"/>
        <w:rPr>
          <w:rFonts w:ascii="Times New Roman" w:eastAsia="Calibri" w:hAnsi="Times New Roman" w:cs="Times New Roman"/>
          <w:i/>
          <w:sz w:val="24"/>
          <w:szCs w:val="24"/>
        </w:rPr>
      </w:pPr>
      <w:r w:rsidRPr="006C4A45">
        <w:rPr>
          <w:rFonts w:ascii="Times New Roman" w:eastAsia="Calibri" w:hAnsi="Times New Roman" w:cs="Times New Roman"/>
          <w:i/>
          <w:sz w:val="24"/>
          <w:szCs w:val="24"/>
        </w:rPr>
        <w:t xml:space="preserve">Фертильность </w:t>
      </w:r>
    </w:p>
    <w:p w14:paraId="7AF6A9F0" w14:textId="77777777" w:rsidR="0031198A" w:rsidRPr="006C4A45" w:rsidRDefault="0093645F" w:rsidP="00A75F5E">
      <w:pPr>
        <w:spacing w:after="0" w:line="240" w:lineRule="auto"/>
        <w:jc w:val="both"/>
        <w:rPr>
          <w:rFonts w:ascii="Times New Roman" w:eastAsia="Calibri" w:hAnsi="Times New Roman" w:cs="Times New Roman"/>
          <w:sz w:val="24"/>
          <w:szCs w:val="24"/>
        </w:rPr>
      </w:pPr>
      <w:r w:rsidRPr="006C4A45">
        <w:rPr>
          <w:rFonts w:ascii="Times New Roman" w:eastAsia="Calibri" w:hAnsi="Times New Roman" w:cs="Times New Roman"/>
          <w:sz w:val="24"/>
          <w:szCs w:val="24"/>
        </w:rPr>
        <w:t xml:space="preserve">Клинических данных по </w:t>
      </w:r>
      <w:proofErr w:type="spellStart"/>
      <w:r w:rsidRPr="006C4A45">
        <w:rPr>
          <w:rFonts w:ascii="Times New Roman" w:eastAsia="Calibri" w:hAnsi="Times New Roman" w:cs="Times New Roman"/>
          <w:sz w:val="24"/>
          <w:szCs w:val="24"/>
        </w:rPr>
        <w:t>эноксапарину</w:t>
      </w:r>
      <w:proofErr w:type="spellEnd"/>
      <w:r w:rsidRPr="006C4A45">
        <w:rPr>
          <w:rFonts w:ascii="Times New Roman" w:eastAsia="Calibri" w:hAnsi="Times New Roman" w:cs="Times New Roman"/>
          <w:sz w:val="24"/>
          <w:szCs w:val="24"/>
        </w:rPr>
        <w:t xml:space="preserve"> натрия в отношении фертильности нет. </w:t>
      </w:r>
    </w:p>
    <w:p w14:paraId="63E25D49" w14:textId="77777777" w:rsidR="00C42D5E" w:rsidRPr="006C4A45" w:rsidRDefault="00C42D5E" w:rsidP="00A75F5E">
      <w:pPr>
        <w:spacing w:after="0" w:line="240" w:lineRule="auto"/>
        <w:jc w:val="both"/>
        <w:rPr>
          <w:rFonts w:ascii="Times New Roman" w:hAnsi="Times New Roman" w:cs="Times New Roman"/>
          <w:b/>
          <w:sz w:val="24"/>
          <w:szCs w:val="24"/>
        </w:rPr>
      </w:pPr>
    </w:p>
    <w:p w14:paraId="7E21B885" w14:textId="77777777" w:rsidR="00E015F8" w:rsidRPr="006C4A45" w:rsidRDefault="00E015F8"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4.7. Влияние на способность управлять транспортными средствами </w:t>
      </w:r>
      <w:r w:rsidR="0031198A" w:rsidRPr="006C4A45">
        <w:rPr>
          <w:rFonts w:ascii="Times New Roman" w:hAnsi="Times New Roman" w:cs="Times New Roman"/>
          <w:b/>
          <w:sz w:val="24"/>
          <w:szCs w:val="24"/>
        </w:rPr>
        <w:t>и потенциально опасными механизмами</w:t>
      </w:r>
    </w:p>
    <w:p w14:paraId="6EB0C1F2" w14:textId="77777777" w:rsidR="00D91FB4" w:rsidRPr="006C4A45" w:rsidRDefault="00D91FB4" w:rsidP="00D91FB4">
      <w:pPr>
        <w:spacing w:after="0" w:line="240" w:lineRule="auto"/>
        <w:jc w:val="both"/>
        <w:rPr>
          <w:rFonts w:ascii="Times New Roman" w:hAnsi="Times New Roman" w:cs="Times New Roman"/>
          <w:sz w:val="24"/>
          <w:szCs w:val="24"/>
        </w:rPr>
      </w:pPr>
      <w:proofErr w:type="spellStart"/>
      <w:r w:rsidRPr="006C4A45">
        <w:rPr>
          <w:rFonts w:ascii="Times New Roman" w:hAnsi="Times New Roman" w:cs="Times New Roman"/>
          <w:bCs/>
          <w:sz w:val="24"/>
          <w:szCs w:val="24"/>
        </w:rPr>
        <w:t>Эноксапарин</w:t>
      </w:r>
      <w:proofErr w:type="spellEnd"/>
      <w:r w:rsidRPr="006C4A45">
        <w:rPr>
          <w:rFonts w:ascii="Times New Roman" w:hAnsi="Times New Roman" w:cs="Times New Roman"/>
          <w:bCs/>
          <w:sz w:val="24"/>
          <w:szCs w:val="24"/>
        </w:rPr>
        <w:t xml:space="preserve"> натрия оказывает незначительное влияние </w:t>
      </w:r>
      <w:r w:rsidRPr="006C4A45">
        <w:rPr>
          <w:rFonts w:ascii="Times New Roman" w:hAnsi="Times New Roman" w:cs="Times New Roman"/>
          <w:sz w:val="24"/>
          <w:szCs w:val="24"/>
        </w:rPr>
        <w:t>на способность управлять транспортными средствами и работать с механизмами или вовсе не оказывает никакого влияния.</w:t>
      </w:r>
    </w:p>
    <w:p w14:paraId="0E0D5608" w14:textId="77777777" w:rsidR="0031198A" w:rsidRPr="006C4A45" w:rsidRDefault="0031198A" w:rsidP="00A75F5E">
      <w:pPr>
        <w:spacing w:after="0" w:line="240" w:lineRule="auto"/>
        <w:jc w:val="both"/>
        <w:rPr>
          <w:rFonts w:ascii="Times New Roman" w:hAnsi="Times New Roman" w:cs="Times New Roman"/>
          <w:sz w:val="24"/>
          <w:szCs w:val="24"/>
        </w:rPr>
      </w:pPr>
    </w:p>
    <w:p w14:paraId="30AA20C9" w14:textId="77777777" w:rsidR="00055682" w:rsidRPr="006C4A45" w:rsidRDefault="0031198A"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4.8. Нежелательные реакции</w:t>
      </w:r>
    </w:p>
    <w:p w14:paraId="32B346CC" w14:textId="5AC2864B" w:rsidR="009500DB" w:rsidRPr="006C4A45" w:rsidRDefault="009500DB" w:rsidP="00D91FB4">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оценивался у более чем 15 000 пациентов, которые получили </w:t>
      </w: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в клинических испытаниях. Из них 1776 для профилактики тромбоза глубоких вен после ортопедических или абдоминальных операций у пациентов с риском тромбоэмболических осложнений, 1169 для профилактики тромбоза глубоких вен у остро больных терапевтических пациентов с серьезно ограниченной подвижностью, 559 для лечения тромбоза глубоких вен с или без ТЭЛА, 1578 для лечения нестабильной стенокардии и инфаркта миокарда без зубца Q и 10 176 для лечения острого </w:t>
      </w:r>
      <w:r w:rsidR="009C1CA3" w:rsidRPr="006C4A45">
        <w:rPr>
          <w:rFonts w:ascii="Times New Roman" w:eastAsia="TimesNewRomanPSMT" w:hAnsi="Times New Roman" w:cs="Times New Roman"/>
          <w:color w:val="000000"/>
          <w:sz w:val="24"/>
          <w:szCs w:val="24"/>
          <w:lang w:eastAsia="ru-RU"/>
        </w:rPr>
        <w:t>инфаркта миокарда с подъемом сегмента ST</w:t>
      </w:r>
      <w:r w:rsidRPr="006C4A45">
        <w:rPr>
          <w:rFonts w:ascii="Times New Roman" w:eastAsia="TimesNewRomanPSMT" w:hAnsi="Times New Roman" w:cs="Times New Roman"/>
          <w:color w:val="000000"/>
          <w:sz w:val="24"/>
          <w:szCs w:val="24"/>
          <w:lang w:eastAsia="ru-RU"/>
        </w:rPr>
        <w:t>.</w:t>
      </w:r>
    </w:p>
    <w:p w14:paraId="5A7BBD8B" w14:textId="6CE87337"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lastRenderedPageBreak/>
        <w:t xml:space="preserve">Режим введения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в ходе этих клинических испытаний различается в зависимости от показаний. Доза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составляла 4000 МЕ (40 мг) подкожно один раз в день для профилактики тромбоза глубоких вен после операции или у остро больных пациентов с сильно ограниченной подвижностью. При лечении тромбоза глубоких вен с тромбоэмболией легочной артерии или без нее пациенты, получавшие </w:t>
      </w:r>
      <w:proofErr w:type="spellStart"/>
      <w:r w:rsidRPr="006C4A45">
        <w:rPr>
          <w:rFonts w:ascii="Times New Roman" w:eastAsia="TimesNewRomanPSMT" w:hAnsi="Times New Roman" w:cs="Times New Roman"/>
          <w:color w:val="000000"/>
          <w:sz w:val="24"/>
          <w:szCs w:val="24"/>
          <w:lang w:eastAsia="ru-RU"/>
        </w:rPr>
        <w:t>эноксапарин</w:t>
      </w:r>
      <w:proofErr w:type="spellEnd"/>
      <w:r w:rsidRPr="006C4A45">
        <w:rPr>
          <w:rFonts w:ascii="Times New Roman" w:eastAsia="TimesNewRomanPSMT" w:hAnsi="Times New Roman" w:cs="Times New Roman"/>
          <w:color w:val="000000"/>
          <w:sz w:val="24"/>
          <w:szCs w:val="24"/>
          <w:lang w:eastAsia="ru-RU"/>
        </w:rPr>
        <w:t xml:space="preserve"> натрия, получали либо дозу 100 МЕ/кг (1 мг/кг) подкожно каждые 12 часов, либо дозу 150 МЕ/кг (1,5 мг/кг) подкожно один раз в день. В клинических исследованиях для лечения нестабильной стенокардии и инфаркта миокарда без зубца Q дозы составляли 100 МЕ/кг (1 мг/кг) подкожно каждые 12 часов, а в клиническом исследовании для лечения острого инфаркта миокарда с подъемом сегмента ST схема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натрия представляла собой внутривенный болюс 3000 МЕ (30 мг) с последующим введением 100 МЕ/кг (1 мг/кг) подкожно каждые 12 часов.</w:t>
      </w:r>
    </w:p>
    <w:p w14:paraId="615E32F1" w14:textId="2C98F8AC"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В клинических исследованиях наиболее часто сообщалось о таких реакциях, как кровотечения, тромбоцитопения и тромбоцитоз (см. раздел 4.4 и «Описание отдельных побочных реакций» ниже).</w:t>
      </w:r>
    </w:p>
    <w:p w14:paraId="2EDDECC8" w14:textId="0388A359" w:rsidR="009500DB" w:rsidRPr="006C4A45" w:rsidRDefault="009500DB"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 xml:space="preserve">Профиль безопасности </w:t>
      </w:r>
      <w:proofErr w:type="spellStart"/>
      <w:r w:rsidRPr="006C4A45">
        <w:rPr>
          <w:rFonts w:ascii="Times New Roman" w:eastAsia="TimesNewRomanPSMT" w:hAnsi="Times New Roman" w:cs="Times New Roman"/>
          <w:color w:val="000000"/>
          <w:sz w:val="24"/>
          <w:szCs w:val="24"/>
          <w:lang w:eastAsia="ru-RU"/>
        </w:rPr>
        <w:t>эноксапарина</w:t>
      </w:r>
      <w:proofErr w:type="spellEnd"/>
      <w:r w:rsidRPr="006C4A45">
        <w:rPr>
          <w:rFonts w:ascii="Times New Roman" w:eastAsia="TimesNewRomanPSMT" w:hAnsi="Times New Roman" w:cs="Times New Roman"/>
          <w:color w:val="000000"/>
          <w:sz w:val="24"/>
          <w:szCs w:val="24"/>
          <w:lang w:eastAsia="ru-RU"/>
        </w:rPr>
        <w:t xml:space="preserve"> для длительного лечения тромбоза глубоких вен и тромбоэмболии легочной артерии у пациентов с активным раком аналогичен его профилю безопасности для лечения тромбоза глубоких вен и тромбоэмболии легочной артерии.</w:t>
      </w:r>
    </w:p>
    <w:p w14:paraId="2BEF3E09" w14:textId="62C99E90" w:rsidR="00053452" w:rsidRPr="006C4A45" w:rsidRDefault="00053452"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sidRPr="006C4A45">
        <w:rPr>
          <w:rFonts w:ascii="Times New Roman" w:eastAsia="TimesNewRomanPSMT" w:hAnsi="Times New Roman" w:cs="Times New Roman"/>
          <w:color w:val="000000"/>
          <w:sz w:val="24"/>
          <w:szCs w:val="24"/>
          <w:lang w:eastAsia="ru-RU"/>
        </w:rPr>
        <w:t xml:space="preserve">Острый генерализованный </w:t>
      </w:r>
      <w:proofErr w:type="spellStart"/>
      <w:r w:rsidRPr="006C4A45">
        <w:rPr>
          <w:rFonts w:ascii="Times New Roman" w:eastAsia="TimesNewRomanPSMT" w:hAnsi="Times New Roman" w:cs="Times New Roman"/>
          <w:color w:val="000000"/>
          <w:sz w:val="24"/>
          <w:szCs w:val="24"/>
          <w:lang w:eastAsia="ru-RU"/>
        </w:rPr>
        <w:t>экзантематозный</w:t>
      </w:r>
      <w:proofErr w:type="spellEnd"/>
      <w:r w:rsidRPr="006C4A45">
        <w:rPr>
          <w:rFonts w:ascii="Times New Roman" w:eastAsia="TimesNewRomanPSMT" w:hAnsi="Times New Roman" w:cs="Times New Roman"/>
          <w:color w:val="000000"/>
          <w:sz w:val="24"/>
          <w:szCs w:val="24"/>
          <w:lang w:eastAsia="ru-RU"/>
        </w:rPr>
        <w:t xml:space="preserve"> </w:t>
      </w:r>
      <w:proofErr w:type="spellStart"/>
      <w:r w:rsidRPr="006C4A45">
        <w:rPr>
          <w:rFonts w:ascii="Times New Roman" w:eastAsia="TimesNewRomanPSMT" w:hAnsi="Times New Roman" w:cs="Times New Roman"/>
          <w:color w:val="000000"/>
          <w:sz w:val="24"/>
          <w:szCs w:val="24"/>
          <w:lang w:eastAsia="ru-RU"/>
        </w:rPr>
        <w:t>пустулез</w:t>
      </w:r>
      <w:proofErr w:type="spellEnd"/>
      <w:r w:rsidRPr="006C4A45">
        <w:rPr>
          <w:rFonts w:ascii="Times New Roman" w:eastAsia="TimesNewRomanPSMT" w:hAnsi="Times New Roman" w:cs="Times New Roman"/>
          <w:color w:val="000000"/>
          <w:sz w:val="24"/>
          <w:szCs w:val="24"/>
          <w:lang w:eastAsia="ru-RU"/>
        </w:rPr>
        <w:t xml:space="preserve"> (AGEP) был зарегистрирован во время лечения </w:t>
      </w:r>
      <w:proofErr w:type="spellStart"/>
      <w:r w:rsidRPr="006C4A45">
        <w:rPr>
          <w:rFonts w:ascii="Times New Roman" w:eastAsia="TimesNewRomanPSMT" w:hAnsi="Times New Roman" w:cs="Times New Roman"/>
          <w:color w:val="000000"/>
          <w:sz w:val="24"/>
          <w:szCs w:val="24"/>
          <w:lang w:eastAsia="ru-RU"/>
        </w:rPr>
        <w:t>эноксапарином</w:t>
      </w:r>
      <w:proofErr w:type="spellEnd"/>
      <w:r w:rsidRPr="006C4A45">
        <w:rPr>
          <w:rFonts w:ascii="Times New Roman" w:eastAsia="TimesNewRomanPSMT" w:hAnsi="Times New Roman" w:cs="Times New Roman"/>
          <w:color w:val="000000"/>
          <w:sz w:val="24"/>
          <w:szCs w:val="24"/>
          <w:lang w:eastAsia="ru-RU"/>
        </w:rPr>
        <w:t xml:space="preserve"> (см. раздел 4.4).</w:t>
      </w:r>
    </w:p>
    <w:p w14:paraId="06D1D7F9" w14:textId="4AB70391" w:rsidR="009500DB" w:rsidRPr="006C4A45" w:rsidRDefault="00053452" w:rsidP="00D91FB4">
      <w:pPr>
        <w:autoSpaceDE w:val="0"/>
        <w:autoSpaceDN w:val="0"/>
        <w:adjustRightInd w:val="0"/>
        <w:spacing w:after="0" w:line="240" w:lineRule="auto"/>
        <w:jc w:val="both"/>
        <w:rPr>
          <w:rFonts w:ascii="Times New Roman" w:eastAsia="TimesNewRomanPSMT" w:hAnsi="Times New Roman" w:cs="Times New Roman"/>
          <w:i/>
          <w:iCs/>
          <w:color w:val="000000"/>
          <w:sz w:val="24"/>
          <w:szCs w:val="24"/>
          <w:lang w:eastAsia="ru-RU"/>
        </w:rPr>
      </w:pPr>
      <w:r w:rsidRPr="006C4A45">
        <w:rPr>
          <w:rFonts w:ascii="Times New Roman" w:eastAsia="TimesNewRomanPSMT" w:hAnsi="Times New Roman" w:cs="Times New Roman"/>
          <w:i/>
          <w:iCs/>
          <w:color w:val="000000"/>
          <w:sz w:val="24"/>
          <w:szCs w:val="24"/>
          <w:lang w:eastAsia="ru-RU"/>
        </w:rPr>
        <w:t>Табличный список нежелательных реакций</w:t>
      </w:r>
    </w:p>
    <w:p w14:paraId="695A17BF" w14:textId="404DD99F" w:rsidR="00053452" w:rsidRPr="006C4A45" w:rsidRDefault="00D91FB4" w:rsidP="00D91FB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6C4A45">
        <w:rPr>
          <w:rFonts w:ascii="Times New Roman" w:eastAsia="TimesNewRomanPSMT" w:hAnsi="Times New Roman" w:cs="Times New Roman"/>
          <w:color w:val="000000"/>
          <w:sz w:val="24"/>
          <w:szCs w:val="24"/>
          <w:lang w:eastAsia="ru-RU"/>
        </w:rPr>
        <w:t xml:space="preserve">Частота возникновения случаев: очень часто (≥1/10), часто (≥ 1/100 &lt;1/10), нечасто (≥ 1/1000 &lt;1/100), редко (≥ 1/10000 &lt;1/1000), очень редко (&lt;1/10000), неизвестно (частота не </w:t>
      </w:r>
      <w:r w:rsidRPr="006C4A45">
        <w:rPr>
          <w:rFonts w:ascii="Times New Roman" w:eastAsia="TimesNewRomanPSMT" w:hAnsi="Times New Roman" w:cs="Times New Roman"/>
          <w:sz w:val="24"/>
          <w:szCs w:val="24"/>
          <w:lang w:eastAsia="ru-RU"/>
        </w:rPr>
        <w:t>может быть определена из имеющихся данных)</w:t>
      </w:r>
      <w:r w:rsidR="00053452" w:rsidRPr="006C4A45">
        <w:rPr>
          <w:rFonts w:ascii="Times New Roman" w:eastAsia="TimesNewRomanPSMT" w:hAnsi="Times New Roman" w:cs="Times New Roman"/>
          <w:sz w:val="24"/>
          <w:szCs w:val="24"/>
          <w:lang w:eastAsia="ru-RU"/>
        </w:rPr>
        <w:t>.</w:t>
      </w:r>
    </w:p>
    <w:p w14:paraId="0A319D12" w14:textId="77777777" w:rsidR="00D91FB4" w:rsidRPr="006C4A45" w:rsidRDefault="00D91FB4" w:rsidP="00D91FB4">
      <w:pPr>
        <w:spacing w:after="0" w:line="240" w:lineRule="auto"/>
        <w:jc w:val="both"/>
        <w:rPr>
          <w:rFonts w:ascii="Times New Roman" w:eastAsia="Calibri" w:hAnsi="Times New Roman" w:cs="Times New Roman"/>
          <w:b/>
          <w:bCs/>
          <w:i/>
          <w:strike/>
          <w:sz w:val="24"/>
          <w:szCs w:val="24"/>
        </w:rPr>
      </w:pPr>
      <w:r w:rsidRPr="006C4A45">
        <w:rPr>
          <w:rFonts w:ascii="Times New Roman" w:eastAsia="Calibri" w:hAnsi="Times New Roman" w:cs="Times New Roman"/>
          <w:b/>
          <w:bCs/>
          <w:i/>
          <w:sz w:val="24"/>
          <w:szCs w:val="24"/>
          <w:lang w:val="kk-KZ"/>
        </w:rPr>
        <w:t>Нарушения со стороны крови и лимфатической системы</w:t>
      </w:r>
    </w:p>
    <w:p w14:paraId="2C6377C8"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7EF70EFE"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кровотечение, геморрагическая анемия*, тромбоцитопения, тромбоцитоз</w:t>
      </w:r>
    </w:p>
    <w:p w14:paraId="67071038"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15062E8E" w14:textId="5DB74ECC"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proofErr w:type="spellStart"/>
      <w:r w:rsidRPr="006C4A45">
        <w:rPr>
          <w:rFonts w:ascii="Times New Roman" w:eastAsia="Calibri" w:hAnsi="Times New Roman" w:cs="Times New Roman"/>
          <w:bCs/>
          <w:sz w:val="24"/>
          <w:szCs w:val="24"/>
        </w:rPr>
        <w:t>эозинофилия</w:t>
      </w:r>
      <w:proofErr w:type="spellEnd"/>
      <w:r w:rsidRPr="006C4A45">
        <w:rPr>
          <w:rFonts w:ascii="Times New Roman" w:eastAsia="Calibri" w:hAnsi="Times New Roman" w:cs="Times New Roman"/>
          <w:bCs/>
          <w:sz w:val="24"/>
          <w:szCs w:val="24"/>
        </w:rPr>
        <w:t>*, случаи иммуноаллергической тромбоцитопении с тромбозом; в некоторых случаях тромбоз осложнялся инфарктом внутренних органов или ишемией конечностей</w:t>
      </w:r>
      <w:r w:rsidR="00053452" w:rsidRPr="006C4A45">
        <w:rPr>
          <w:rFonts w:ascii="Times New Roman" w:eastAsia="Calibri" w:hAnsi="Times New Roman" w:cs="Times New Roman"/>
          <w:bCs/>
          <w:sz w:val="24"/>
          <w:szCs w:val="24"/>
        </w:rPr>
        <w:t xml:space="preserve"> (см. раздел 4.4).</w:t>
      </w:r>
    </w:p>
    <w:p w14:paraId="2934BAE1"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иммунной системы</w:t>
      </w:r>
    </w:p>
    <w:p w14:paraId="66F2138A"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6FE4921C"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аллергическая реакция</w:t>
      </w:r>
    </w:p>
    <w:p w14:paraId="2EC63B7A" w14:textId="77777777" w:rsidR="00D91FB4" w:rsidRPr="006C4A45" w:rsidRDefault="00D91FB4" w:rsidP="00D91FB4">
      <w:pPr>
        <w:tabs>
          <w:tab w:val="left" w:pos="5481"/>
        </w:tabs>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r w:rsidRPr="006C4A45">
        <w:rPr>
          <w:rFonts w:ascii="Times New Roman" w:eastAsia="Calibri" w:hAnsi="Times New Roman" w:cs="Times New Roman"/>
          <w:bCs/>
          <w:i/>
          <w:sz w:val="24"/>
          <w:szCs w:val="24"/>
        </w:rPr>
        <w:tab/>
      </w:r>
    </w:p>
    <w:p w14:paraId="05E4822D" w14:textId="77777777" w:rsidR="00D91FB4"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анафилактические/</w:t>
      </w:r>
      <w:proofErr w:type="spellStart"/>
      <w:r w:rsidRPr="006C4A45">
        <w:rPr>
          <w:rFonts w:ascii="Times New Roman" w:eastAsia="Calibri" w:hAnsi="Times New Roman" w:cs="Times New Roman"/>
          <w:bCs/>
          <w:sz w:val="24"/>
          <w:szCs w:val="24"/>
        </w:rPr>
        <w:t>анафилактоидные</w:t>
      </w:r>
      <w:proofErr w:type="spellEnd"/>
      <w:r w:rsidRPr="006C4A45">
        <w:rPr>
          <w:rFonts w:ascii="Times New Roman" w:eastAsia="Calibri" w:hAnsi="Times New Roman" w:cs="Times New Roman"/>
          <w:bCs/>
          <w:sz w:val="24"/>
          <w:szCs w:val="24"/>
        </w:rPr>
        <w:t xml:space="preserve"> реакции, включая шок*</w:t>
      </w:r>
    </w:p>
    <w:p w14:paraId="2A62BD6F"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нервной системы</w:t>
      </w:r>
    </w:p>
    <w:p w14:paraId="290A10EF"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023870DA"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головная боль*</w:t>
      </w:r>
    </w:p>
    <w:p w14:paraId="4A4E0E5F"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сосудов</w:t>
      </w:r>
    </w:p>
    <w:p w14:paraId="2F8A2EAD"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632D7D5C" w14:textId="59B7FB28"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спинальная гематома* (или </w:t>
      </w:r>
      <w:proofErr w:type="spellStart"/>
      <w:r w:rsidRPr="006C4A45">
        <w:rPr>
          <w:rFonts w:ascii="Times New Roman" w:eastAsia="Times New Roman" w:hAnsi="Times New Roman" w:cs="Times New Roman"/>
          <w:bCs/>
          <w:sz w:val="24"/>
          <w:szCs w:val="24"/>
          <w:lang w:eastAsia="hu-HU"/>
        </w:rPr>
        <w:t>нейроаксиальная</w:t>
      </w:r>
      <w:proofErr w:type="spellEnd"/>
      <w:r w:rsidRPr="006C4A45">
        <w:rPr>
          <w:rFonts w:ascii="Times New Roman" w:eastAsia="Times New Roman" w:hAnsi="Times New Roman" w:cs="Times New Roman"/>
          <w:bCs/>
          <w:sz w:val="24"/>
          <w:szCs w:val="24"/>
          <w:lang w:eastAsia="hu-HU"/>
        </w:rPr>
        <w:t xml:space="preserve"> гематома), что может привести к развитию неврологических нарушений различной степени тяжести, включая стойкий или необратимый паралич</w:t>
      </w:r>
      <w:r w:rsidR="00D95E58" w:rsidRPr="006C4A45">
        <w:rPr>
          <w:rFonts w:ascii="Times New Roman" w:eastAsia="Times New Roman" w:hAnsi="Times New Roman" w:cs="Times New Roman"/>
          <w:bCs/>
          <w:sz w:val="24"/>
          <w:szCs w:val="24"/>
          <w:lang w:eastAsia="hu-HU"/>
        </w:rPr>
        <w:t xml:space="preserve"> (см. раздел 4.4).</w:t>
      </w:r>
    </w:p>
    <w:p w14:paraId="632F1C72" w14:textId="77777777" w:rsidR="00D91FB4" w:rsidRPr="006C4A45" w:rsidRDefault="00D91FB4" w:rsidP="00D91FB4">
      <w:pPr>
        <w:spacing w:after="0" w:line="240" w:lineRule="auto"/>
        <w:jc w:val="both"/>
        <w:rPr>
          <w:rFonts w:ascii="Times New Roman" w:eastAsia="Calibri" w:hAnsi="Times New Roman" w:cs="Times New Roman"/>
          <w:b/>
          <w:bCs/>
          <w:i/>
          <w:sz w:val="24"/>
          <w:szCs w:val="24"/>
          <w:lang w:val="kk-KZ"/>
        </w:rPr>
      </w:pPr>
      <w:r w:rsidRPr="006C4A45">
        <w:rPr>
          <w:rFonts w:ascii="Times New Roman" w:eastAsia="Calibri" w:hAnsi="Times New Roman" w:cs="Times New Roman"/>
          <w:b/>
          <w:bCs/>
          <w:i/>
          <w:sz w:val="24"/>
          <w:szCs w:val="24"/>
          <w:lang w:val="kk-KZ"/>
        </w:rPr>
        <w:t>Нарушения со стороны печени и желчевыводящих путей</w:t>
      </w:r>
    </w:p>
    <w:p w14:paraId="21631C14"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Очень часто</w:t>
      </w:r>
    </w:p>
    <w:p w14:paraId="7238FCDC"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увеличение количества энзимов печени (главным образом, трансаминаз в 3 раза больше верхней границы нормы)</w:t>
      </w:r>
    </w:p>
    <w:p w14:paraId="0F497CB6" w14:textId="77777777" w:rsidR="00D91FB4" w:rsidRPr="006C4A45" w:rsidRDefault="00D91FB4" w:rsidP="00D91FB4">
      <w:pPr>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p>
    <w:p w14:paraId="1141FE1A" w14:textId="77777777" w:rsidR="00D91FB4" w:rsidRPr="006C4A45" w:rsidRDefault="00D91FB4" w:rsidP="00D91FB4">
      <w:pPr>
        <w:numPr>
          <w:ilvl w:val="0"/>
          <w:numId w:val="25"/>
        </w:numPr>
        <w:spacing w:after="0" w:line="240" w:lineRule="auto"/>
        <w:ind w:left="0" w:firstLine="0"/>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гепатоцеллюлярное поражение печени*</w:t>
      </w:r>
    </w:p>
    <w:p w14:paraId="2BBDF6D3"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31B2CC27" w14:textId="77777777" w:rsidR="00D91FB4" w:rsidRPr="006C4A45" w:rsidRDefault="00D91FB4" w:rsidP="00D91FB4">
      <w:pPr>
        <w:numPr>
          <w:ilvl w:val="0"/>
          <w:numId w:val="26"/>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lastRenderedPageBreak/>
        <w:t>холестатическое поражение печени*</w:t>
      </w:r>
    </w:p>
    <w:p w14:paraId="334EC34B" w14:textId="77777777" w:rsidR="00D91FB4" w:rsidRPr="006C4A45" w:rsidRDefault="00D91FB4" w:rsidP="00D91FB4">
      <w:pPr>
        <w:spacing w:after="0" w:line="240" w:lineRule="auto"/>
        <w:jc w:val="both"/>
        <w:rPr>
          <w:rFonts w:ascii="Times New Roman" w:eastAsia="Times New Roman" w:hAnsi="Times New Roman" w:cs="Times New Roman"/>
          <w:b/>
          <w:bCs/>
          <w:i/>
          <w:sz w:val="24"/>
          <w:szCs w:val="24"/>
          <w:lang w:val="kk-KZ" w:eastAsia="hu-HU"/>
        </w:rPr>
      </w:pPr>
      <w:r w:rsidRPr="006C4A45">
        <w:rPr>
          <w:rFonts w:ascii="Times New Roman" w:eastAsia="Times New Roman" w:hAnsi="Times New Roman" w:cs="Times New Roman"/>
          <w:b/>
          <w:bCs/>
          <w:i/>
          <w:sz w:val="24"/>
          <w:szCs w:val="24"/>
          <w:lang w:val="kk-KZ" w:eastAsia="hu-HU"/>
        </w:rPr>
        <w:t>Нарушения со стороны кожи и подкожных тканей</w:t>
      </w:r>
    </w:p>
    <w:p w14:paraId="6FA6E6E4"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70F4A014"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крапивница, зуд, эритема</w:t>
      </w:r>
    </w:p>
    <w:p w14:paraId="73AE04CA" w14:textId="77777777" w:rsidR="00D91FB4" w:rsidRPr="006C4A45" w:rsidRDefault="00D91FB4" w:rsidP="00D91FB4">
      <w:pPr>
        <w:tabs>
          <w:tab w:val="left" w:pos="1504"/>
        </w:tabs>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r w:rsidRPr="006C4A45">
        <w:rPr>
          <w:rFonts w:ascii="Times New Roman" w:eastAsia="Times New Roman" w:hAnsi="Times New Roman" w:cs="Times New Roman"/>
          <w:bCs/>
          <w:i/>
          <w:sz w:val="24"/>
          <w:szCs w:val="24"/>
          <w:lang w:eastAsia="hu-HU"/>
        </w:rPr>
        <w:tab/>
      </w:r>
    </w:p>
    <w:p w14:paraId="75FABE61" w14:textId="77777777" w:rsidR="00D91FB4" w:rsidRPr="006C4A45" w:rsidRDefault="00D91FB4" w:rsidP="00D91FB4">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буллезный дерматит  </w:t>
      </w:r>
    </w:p>
    <w:p w14:paraId="2F6678F7"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093B5A99" w14:textId="4EBDAC82"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алопеция*, кожный васкулит*, некроз кожи*, обычно возникающий в месте инъекции (этим явлениям обычно предшествовали пурпура или </w:t>
      </w:r>
      <w:proofErr w:type="spellStart"/>
      <w:r w:rsidRPr="006C4A45">
        <w:rPr>
          <w:rFonts w:ascii="Times New Roman" w:eastAsia="Times New Roman" w:hAnsi="Times New Roman" w:cs="Times New Roman"/>
          <w:bCs/>
          <w:sz w:val="24"/>
          <w:szCs w:val="24"/>
          <w:lang w:eastAsia="hu-HU"/>
        </w:rPr>
        <w:t>эритематозные</w:t>
      </w:r>
      <w:proofErr w:type="spellEnd"/>
      <w:r w:rsidRPr="006C4A45">
        <w:rPr>
          <w:rFonts w:ascii="Times New Roman" w:eastAsia="Times New Roman" w:hAnsi="Times New Roman" w:cs="Times New Roman"/>
          <w:bCs/>
          <w:sz w:val="24"/>
          <w:szCs w:val="24"/>
          <w:lang w:eastAsia="hu-HU"/>
        </w:rPr>
        <w:t xml:space="preserve"> бляшки, </w:t>
      </w:r>
      <w:proofErr w:type="spellStart"/>
      <w:r w:rsidRPr="006C4A45">
        <w:rPr>
          <w:rFonts w:ascii="Times New Roman" w:eastAsia="Times New Roman" w:hAnsi="Times New Roman" w:cs="Times New Roman"/>
          <w:bCs/>
          <w:sz w:val="24"/>
          <w:szCs w:val="24"/>
          <w:lang w:eastAsia="hu-HU"/>
        </w:rPr>
        <w:t>инфильтрованные</w:t>
      </w:r>
      <w:proofErr w:type="spellEnd"/>
      <w:r w:rsidRPr="006C4A45">
        <w:rPr>
          <w:rFonts w:ascii="Times New Roman" w:eastAsia="Times New Roman" w:hAnsi="Times New Roman" w:cs="Times New Roman"/>
          <w:bCs/>
          <w:sz w:val="24"/>
          <w:szCs w:val="24"/>
          <w:lang w:eastAsia="hu-HU"/>
        </w:rPr>
        <w:t xml:space="preserve"> и болезненные), узелки в месте инъекций препарата* (воспалительные узелки, не являющиеся </w:t>
      </w:r>
      <w:proofErr w:type="spellStart"/>
      <w:r w:rsidRPr="006C4A45">
        <w:rPr>
          <w:rFonts w:ascii="Times New Roman" w:eastAsia="Times New Roman" w:hAnsi="Times New Roman" w:cs="Times New Roman"/>
          <w:bCs/>
          <w:sz w:val="24"/>
          <w:szCs w:val="24"/>
          <w:lang w:eastAsia="hu-HU"/>
        </w:rPr>
        <w:t>кистовидной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капсуляцией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эноксапарина</w:t>
      </w:r>
      <w:proofErr w:type="spellEnd"/>
      <w:r w:rsidRPr="006C4A45">
        <w:rPr>
          <w:rFonts w:ascii="Times New Roman" w:eastAsia="Times New Roman" w:hAnsi="Times New Roman" w:cs="Times New Roman"/>
          <w:bCs/>
          <w:sz w:val="24"/>
          <w:szCs w:val="24"/>
          <w:lang w:eastAsia="hu-HU"/>
        </w:rPr>
        <w:t xml:space="preserve">), которые исчезают через несколько дней и не являются основанием для отмены препарата </w:t>
      </w:r>
    </w:p>
    <w:p w14:paraId="5D8FD4CF" w14:textId="5C92C860" w:rsidR="00216B44" w:rsidRPr="006C4A45" w:rsidRDefault="00216B44" w:rsidP="00D91FB4">
      <w:pPr>
        <w:tabs>
          <w:tab w:val="left" w:pos="567"/>
        </w:tabs>
        <w:spacing w:after="0" w:line="240" w:lineRule="auto"/>
        <w:contextualSpacing/>
        <w:jc w:val="both"/>
        <w:rPr>
          <w:rFonts w:ascii="Times New Roman" w:eastAsia="Times New Roman" w:hAnsi="Times New Roman" w:cs="Times New Roman"/>
          <w:bCs/>
          <w:i/>
          <w:iCs/>
          <w:sz w:val="24"/>
          <w:szCs w:val="24"/>
          <w:lang w:eastAsia="hu-HU"/>
        </w:rPr>
      </w:pPr>
      <w:r w:rsidRPr="006C4A45">
        <w:rPr>
          <w:rFonts w:ascii="Times New Roman" w:eastAsia="Times New Roman" w:hAnsi="Times New Roman" w:cs="Times New Roman"/>
          <w:bCs/>
          <w:i/>
          <w:iCs/>
          <w:sz w:val="24"/>
          <w:szCs w:val="24"/>
          <w:lang w:eastAsia="hu-HU"/>
        </w:rPr>
        <w:t>Неизвестно</w:t>
      </w:r>
    </w:p>
    <w:p w14:paraId="061DE89E" w14:textId="2341A28F" w:rsidR="00216B44" w:rsidRPr="006C4A45" w:rsidRDefault="00216B4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острый генерализованный </w:t>
      </w:r>
      <w:proofErr w:type="spellStart"/>
      <w:r w:rsidRPr="006C4A45">
        <w:rPr>
          <w:rFonts w:ascii="Times New Roman" w:eastAsia="Times New Roman" w:hAnsi="Times New Roman" w:cs="Times New Roman"/>
          <w:bCs/>
          <w:sz w:val="24"/>
          <w:szCs w:val="24"/>
          <w:lang w:eastAsia="hu-HU"/>
        </w:rPr>
        <w:t>экзантематозный</w:t>
      </w:r>
      <w:proofErr w:type="spellEnd"/>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пустулез</w:t>
      </w:r>
      <w:proofErr w:type="spellEnd"/>
      <w:r w:rsidRPr="006C4A45">
        <w:rPr>
          <w:rFonts w:ascii="Times New Roman" w:eastAsia="Times New Roman" w:hAnsi="Times New Roman" w:cs="Times New Roman"/>
          <w:bCs/>
          <w:sz w:val="24"/>
          <w:szCs w:val="24"/>
          <w:lang w:eastAsia="hu-HU"/>
        </w:rPr>
        <w:t xml:space="preserve"> (</w:t>
      </w:r>
      <w:r w:rsidRPr="006C4A45">
        <w:rPr>
          <w:rFonts w:ascii="Times New Roman" w:eastAsia="Times New Roman" w:hAnsi="Times New Roman" w:cs="Times New Roman"/>
          <w:bCs/>
          <w:sz w:val="24"/>
          <w:szCs w:val="24"/>
          <w:lang w:val="en-US" w:eastAsia="hu-HU"/>
        </w:rPr>
        <w:t>AGEP</w:t>
      </w:r>
      <w:r w:rsidRPr="006C4A45">
        <w:rPr>
          <w:rFonts w:ascii="Times New Roman" w:eastAsia="Times New Roman" w:hAnsi="Times New Roman" w:cs="Times New Roman"/>
          <w:bCs/>
          <w:sz w:val="24"/>
          <w:szCs w:val="24"/>
          <w:lang w:eastAsia="hu-HU"/>
        </w:rPr>
        <w:t>)</w:t>
      </w:r>
    </w:p>
    <w:p w14:paraId="450F6245" w14:textId="77777777" w:rsidR="00D91FB4" w:rsidRPr="006C4A45" w:rsidRDefault="00D91FB4" w:rsidP="00D91FB4">
      <w:pPr>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Calibri" w:hAnsi="Times New Roman" w:cs="Times New Roman"/>
          <w:b/>
          <w:bCs/>
          <w:i/>
          <w:sz w:val="24"/>
          <w:szCs w:val="24"/>
          <w:lang w:val="kk-KZ"/>
        </w:rPr>
        <w:t>Нарушения со стороны скелетно мышечной и соединительной ткани</w:t>
      </w:r>
    </w:p>
    <w:p w14:paraId="7A39BDDD"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1435CE75"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остеопороз* после длительной терапии (более 3 месяцев)</w:t>
      </w:r>
    </w:p>
    <w:p w14:paraId="6F3E2C0D" w14:textId="77777777" w:rsidR="00D91FB4" w:rsidRPr="006C4A45" w:rsidRDefault="00D91FB4" w:rsidP="00D91FB4">
      <w:pPr>
        <w:spacing w:after="0" w:line="240" w:lineRule="auto"/>
        <w:jc w:val="both"/>
        <w:rPr>
          <w:rFonts w:ascii="Times New Roman" w:eastAsia="Times New Roman" w:hAnsi="Times New Roman" w:cs="Times New Roman"/>
          <w:b/>
          <w:bCs/>
          <w:i/>
          <w:sz w:val="24"/>
          <w:szCs w:val="24"/>
          <w:lang w:eastAsia="hu-HU"/>
        </w:rPr>
      </w:pPr>
      <w:r w:rsidRPr="006C4A45">
        <w:rPr>
          <w:rFonts w:ascii="Times New Roman" w:eastAsia="Times New Roman" w:hAnsi="Times New Roman" w:cs="Times New Roman"/>
          <w:b/>
          <w:bCs/>
          <w:i/>
          <w:sz w:val="24"/>
          <w:szCs w:val="24"/>
          <w:lang w:eastAsia="hu-HU"/>
        </w:rPr>
        <w:t>Общее нарушение и реакции в месте введения</w:t>
      </w:r>
    </w:p>
    <w:p w14:paraId="3F2CEEDA"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Часто</w:t>
      </w:r>
    </w:p>
    <w:p w14:paraId="39D3EC0D" w14:textId="77777777" w:rsidR="00D91FB4" w:rsidRPr="006C4A45" w:rsidRDefault="00D91FB4" w:rsidP="00D91FB4">
      <w:pPr>
        <w:spacing w:after="0" w:line="240" w:lineRule="auto"/>
        <w:jc w:val="both"/>
        <w:rPr>
          <w:rFonts w:ascii="Times New Roman" w:eastAsia="Times New Roman" w:hAnsi="Times New Roman" w:cs="Times New Roman"/>
          <w:strike/>
          <w:sz w:val="24"/>
          <w:szCs w:val="24"/>
          <w:lang w:eastAsia="hu-HU"/>
        </w:rPr>
      </w:pPr>
      <w:r w:rsidRPr="006C4A45">
        <w:rPr>
          <w:rFonts w:ascii="Times New Roman" w:eastAsia="Times New Roman" w:hAnsi="Times New Roman" w:cs="Times New Roman"/>
          <w:bCs/>
          <w:sz w:val="24"/>
          <w:szCs w:val="24"/>
          <w:lang w:eastAsia="hu-HU"/>
        </w:rPr>
        <w:t>- гематомы в месте инъекции, боль в месте инъекции, другая реакция в месте инъекции (отек, кровотечения, повышенная чувствительность, воспаления, образования, боль или реакция в месте инъекции)</w:t>
      </w:r>
    </w:p>
    <w:p w14:paraId="121373CF" w14:textId="77777777" w:rsidR="00D91FB4" w:rsidRPr="006C4A45" w:rsidRDefault="00D91FB4" w:rsidP="00D91FB4">
      <w:pPr>
        <w:tabs>
          <w:tab w:val="left" w:pos="1504"/>
          <w:tab w:val="left" w:pos="3353"/>
        </w:tabs>
        <w:spacing w:after="0" w:line="240" w:lineRule="auto"/>
        <w:jc w:val="both"/>
        <w:rPr>
          <w:rFonts w:ascii="Times New Roman" w:eastAsia="Times New Roman" w:hAnsi="Times New Roman" w:cs="Times New Roman"/>
          <w:bCs/>
          <w:i/>
          <w:sz w:val="24"/>
          <w:szCs w:val="24"/>
          <w:lang w:eastAsia="hu-HU"/>
        </w:rPr>
      </w:pPr>
      <w:r w:rsidRPr="006C4A45">
        <w:rPr>
          <w:rFonts w:ascii="Times New Roman" w:eastAsia="Times New Roman" w:hAnsi="Times New Roman" w:cs="Times New Roman"/>
          <w:bCs/>
          <w:i/>
          <w:sz w:val="24"/>
          <w:szCs w:val="24"/>
          <w:lang w:eastAsia="hu-HU"/>
        </w:rPr>
        <w:t>Нечасто</w:t>
      </w:r>
      <w:r w:rsidRPr="006C4A45">
        <w:rPr>
          <w:rFonts w:ascii="Times New Roman" w:eastAsia="Times New Roman" w:hAnsi="Times New Roman" w:cs="Times New Roman"/>
          <w:bCs/>
          <w:i/>
          <w:sz w:val="24"/>
          <w:szCs w:val="24"/>
          <w:lang w:eastAsia="hu-HU"/>
        </w:rPr>
        <w:tab/>
      </w:r>
      <w:r w:rsidRPr="006C4A45">
        <w:rPr>
          <w:rFonts w:ascii="Times New Roman" w:eastAsia="Times New Roman" w:hAnsi="Times New Roman" w:cs="Times New Roman"/>
          <w:bCs/>
          <w:i/>
          <w:sz w:val="24"/>
          <w:szCs w:val="24"/>
          <w:lang w:eastAsia="hu-HU"/>
        </w:rPr>
        <w:tab/>
      </w:r>
    </w:p>
    <w:p w14:paraId="0F4E91D0"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Times New Roman" w:hAnsi="Times New Roman" w:cs="Times New Roman"/>
          <w:bCs/>
          <w:sz w:val="24"/>
          <w:szCs w:val="24"/>
          <w:lang w:eastAsia="hu-HU"/>
        </w:rPr>
        <w:t xml:space="preserve">- местное раздражение, </w:t>
      </w:r>
      <w:r w:rsidRPr="006C4A45">
        <w:rPr>
          <w:rFonts w:ascii="Times New Roman" w:eastAsia="Calibri" w:hAnsi="Times New Roman" w:cs="Times New Roman"/>
          <w:bCs/>
          <w:sz w:val="24"/>
          <w:szCs w:val="24"/>
        </w:rPr>
        <w:t>некроз кожи в месте инъекции</w:t>
      </w:r>
    </w:p>
    <w:p w14:paraId="543C8239"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
          <w:bCs/>
          <w:i/>
          <w:sz w:val="24"/>
          <w:szCs w:val="24"/>
          <w:lang w:eastAsia="hu-HU"/>
        </w:rPr>
      </w:pPr>
      <w:r w:rsidRPr="006C4A45">
        <w:rPr>
          <w:rFonts w:ascii="Times New Roman" w:eastAsia="Times New Roman" w:hAnsi="Times New Roman" w:cs="Times New Roman"/>
          <w:b/>
          <w:bCs/>
          <w:i/>
          <w:sz w:val="24"/>
          <w:szCs w:val="24"/>
          <w:lang w:eastAsia="hu-HU"/>
        </w:rPr>
        <w:t>Лабораторные данные</w:t>
      </w:r>
    </w:p>
    <w:p w14:paraId="305C9E3F" w14:textId="77777777" w:rsidR="00D91FB4" w:rsidRPr="006C4A45" w:rsidRDefault="00D91FB4" w:rsidP="00D91FB4">
      <w:pPr>
        <w:spacing w:after="0" w:line="240" w:lineRule="auto"/>
        <w:jc w:val="both"/>
        <w:rPr>
          <w:rFonts w:ascii="Times New Roman" w:eastAsia="Calibri" w:hAnsi="Times New Roman" w:cs="Times New Roman"/>
          <w:bCs/>
          <w:i/>
          <w:sz w:val="24"/>
          <w:szCs w:val="24"/>
        </w:rPr>
      </w:pPr>
      <w:r w:rsidRPr="006C4A45">
        <w:rPr>
          <w:rFonts w:ascii="Times New Roman" w:eastAsia="Calibri" w:hAnsi="Times New Roman" w:cs="Times New Roman"/>
          <w:bCs/>
          <w:i/>
          <w:sz w:val="24"/>
          <w:szCs w:val="24"/>
        </w:rPr>
        <w:t>Редко</w:t>
      </w:r>
    </w:p>
    <w:p w14:paraId="6C2FB30C" w14:textId="594A7BB0"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Cs/>
          <w:color w:val="000000"/>
          <w:sz w:val="24"/>
          <w:szCs w:val="24"/>
          <w:lang w:eastAsia="hu-HU"/>
        </w:rPr>
      </w:pPr>
      <w:r w:rsidRPr="006C4A45">
        <w:rPr>
          <w:rFonts w:ascii="Times New Roman" w:eastAsia="Times New Roman" w:hAnsi="Times New Roman" w:cs="Times New Roman"/>
          <w:bCs/>
          <w:sz w:val="24"/>
          <w:szCs w:val="24"/>
          <w:lang w:eastAsia="hu-HU"/>
        </w:rPr>
        <w:t xml:space="preserve">- </w:t>
      </w:r>
      <w:proofErr w:type="spellStart"/>
      <w:r w:rsidRPr="006C4A45">
        <w:rPr>
          <w:rFonts w:ascii="Times New Roman" w:eastAsia="Times New Roman" w:hAnsi="Times New Roman" w:cs="Times New Roman"/>
          <w:bCs/>
          <w:sz w:val="24"/>
          <w:szCs w:val="24"/>
          <w:lang w:eastAsia="hu-HU"/>
        </w:rPr>
        <w:t>гиперкалиемия</w:t>
      </w:r>
      <w:proofErr w:type="spellEnd"/>
      <w:r w:rsidR="00C201B3" w:rsidRPr="006C4A45">
        <w:rPr>
          <w:rFonts w:ascii="Times New Roman" w:eastAsia="Times New Roman" w:hAnsi="Times New Roman" w:cs="Times New Roman"/>
          <w:bCs/>
          <w:sz w:val="24"/>
          <w:szCs w:val="24"/>
          <w:lang w:eastAsia="hu-HU"/>
        </w:rPr>
        <w:t xml:space="preserve"> (см. раздел 4.4 и </w:t>
      </w:r>
      <w:proofErr w:type="gramStart"/>
      <w:r w:rsidR="00C201B3" w:rsidRPr="006C4A45">
        <w:rPr>
          <w:rFonts w:ascii="Times New Roman" w:eastAsia="Times New Roman" w:hAnsi="Times New Roman" w:cs="Times New Roman"/>
          <w:bCs/>
          <w:sz w:val="24"/>
          <w:szCs w:val="24"/>
          <w:lang w:eastAsia="hu-HU"/>
        </w:rPr>
        <w:t>4.5)</w:t>
      </w:r>
      <w:r w:rsidRPr="006C4A45">
        <w:rPr>
          <w:rFonts w:ascii="Times New Roman" w:eastAsia="Times New Roman" w:hAnsi="Times New Roman" w:cs="Times New Roman"/>
          <w:bCs/>
          <w:sz w:val="24"/>
          <w:szCs w:val="24"/>
          <w:lang w:eastAsia="hu-HU"/>
        </w:rPr>
        <w:t>*</w:t>
      </w:r>
      <w:proofErr w:type="gramEnd"/>
    </w:p>
    <w:p w14:paraId="7CF4BD3B" w14:textId="77777777" w:rsidR="00D91FB4" w:rsidRPr="006C4A45" w:rsidRDefault="00D91FB4" w:rsidP="00D91FB4">
      <w:pPr>
        <w:tabs>
          <w:tab w:val="left" w:pos="567"/>
        </w:tabs>
        <w:spacing w:after="0" w:line="240" w:lineRule="auto"/>
        <w:contextualSpacing/>
        <w:jc w:val="both"/>
        <w:rPr>
          <w:rFonts w:ascii="Times New Roman" w:eastAsia="Times New Roman" w:hAnsi="Times New Roman" w:cs="Times New Roman"/>
          <w:b/>
          <w:bCs/>
          <w:i/>
          <w:color w:val="000000"/>
          <w:sz w:val="24"/>
          <w:szCs w:val="24"/>
          <w:lang w:eastAsia="hu-HU"/>
        </w:rPr>
      </w:pPr>
      <w:r w:rsidRPr="006C4A45">
        <w:rPr>
          <w:rFonts w:ascii="Times New Roman" w:eastAsia="Times New Roman" w:hAnsi="Times New Roman" w:cs="Times New Roman"/>
          <w:b/>
          <w:bCs/>
          <w:i/>
          <w:color w:val="000000"/>
          <w:sz w:val="24"/>
          <w:szCs w:val="24"/>
          <w:lang w:eastAsia="hu-HU"/>
        </w:rPr>
        <w:t>Описание некоторых нежелательных реакций</w:t>
      </w:r>
    </w:p>
    <w:p w14:paraId="540C7399" w14:textId="77777777" w:rsidR="00D91FB4" w:rsidRPr="006C4A45" w:rsidRDefault="00D91FB4" w:rsidP="00D91FB4">
      <w:pPr>
        <w:autoSpaceDE w:val="0"/>
        <w:autoSpaceDN w:val="0"/>
        <w:adjustRightInd w:val="0"/>
        <w:spacing w:after="0" w:line="240" w:lineRule="auto"/>
        <w:jc w:val="both"/>
        <w:rPr>
          <w:rFonts w:ascii="Times New Roman" w:eastAsia="Calibri" w:hAnsi="Times New Roman" w:cs="Times New Roman"/>
          <w:b/>
          <w:bCs/>
          <w:i/>
          <w:sz w:val="24"/>
          <w:szCs w:val="24"/>
        </w:rPr>
      </w:pPr>
      <w:r w:rsidRPr="006C4A45">
        <w:rPr>
          <w:rFonts w:ascii="Times New Roman" w:eastAsia="Calibri" w:hAnsi="Times New Roman" w:cs="Times New Roman"/>
          <w:b/>
          <w:bCs/>
          <w:i/>
          <w:sz w:val="24"/>
          <w:szCs w:val="24"/>
        </w:rPr>
        <w:t>Кровотечение</w:t>
      </w:r>
    </w:p>
    <w:p w14:paraId="7CBB9576" w14:textId="77777777" w:rsidR="00D91FB4" w:rsidRPr="006C4A45" w:rsidRDefault="00D91FB4" w:rsidP="00D91FB4">
      <w:pPr>
        <w:autoSpaceDE w:val="0"/>
        <w:autoSpaceDN w:val="0"/>
        <w:adjustRightInd w:val="0"/>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Наиболее часто встречавшимся побочным явлением были кровотечения. К ним относятся обширные кровотечения, отмеченные у 4,2% пациентов (хирургические пациенты). Некоторые из этих случаев были фатальными. У хирургических пациентов кровотечения считались крупными:</w:t>
      </w:r>
    </w:p>
    <w:p w14:paraId="4361CAC0" w14:textId="510BF8A6" w:rsidR="00D91FB4" w:rsidRPr="006C4A45" w:rsidRDefault="009C1CA3" w:rsidP="009C1CA3">
      <w:pPr>
        <w:spacing w:after="0" w:line="240" w:lineRule="auto"/>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w:t>
      </w:r>
      <w:r w:rsidR="00D91FB4" w:rsidRPr="006C4A45">
        <w:rPr>
          <w:rFonts w:ascii="Times New Roman" w:eastAsia="Times New Roman" w:hAnsi="Times New Roman" w:cs="Times New Roman"/>
          <w:bCs/>
          <w:sz w:val="24"/>
          <w:szCs w:val="24"/>
          <w:lang w:eastAsia="hu-HU"/>
        </w:rPr>
        <w:t xml:space="preserve">если кровотечение вызвало значительное клиническое событие </w:t>
      </w:r>
    </w:p>
    <w:p w14:paraId="19ABFD65" w14:textId="12032591" w:rsidR="00D91FB4" w:rsidRPr="006C4A45" w:rsidRDefault="009C1CA3" w:rsidP="009C1CA3">
      <w:pPr>
        <w:spacing w:after="0" w:line="240" w:lineRule="auto"/>
        <w:jc w:val="both"/>
        <w:rPr>
          <w:rFonts w:ascii="Times New Roman" w:eastAsia="Times New Roman" w:hAnsi="Times New Roman" w:cs="Times New Roman"/>
          <w:bCs/>
          <w:sz w:val="24"/>
          <w:szCs w:val="24"/>
          <w:lang w:eastAsia="hu-HU"/>
        </w:rPr>
      </w:pPr>
      <w:r w:rsidRPr="006C4A45">
        <w:rPr>
          <w:rFonts w:ascii="Times New Roman" w:eastAsia="Times New Roman" w:hAnsi="Times New Roman" w:cs="Times New Roman"/>
          <w:bCs/>
          <w:sz w:val="24"/>
          <w:szCs w:val="24"/>
          <w:lang w:eastAsia="hu-HU"/>
        </w:rPr>
        <w:t xml:space="preserve">- </w:t>
      </w:r>
      <w:r w:rsidR="00D91FB4" w:rsidRPr="006C4A45">
        <w:rPr>
          <w:rFonts w:ascii="Times New Roman" w:eastAsia="Times New Roman" w:hAnsi="Times New Roman" w:cs="Times New Roman"/>
          <w:bCs/>
          <w:sz w:val="24"/>
          <w:szCs w:val="24"/>
          <w:lang w:eastAsia="hu-HU"/>
        </w:rPr>
        <w:t>снижение уровня гемоглобина до уровня ≥ 2 г/мл или переливание 2 или более литров крови</w:t>
      </w:r>
    </w:p>
    <w:p w14:paraId="7624D6C4" w14:textId="22F700C2" w:rsidR="00D91FB4" w:rsidRPr="006C4A45" w:rsidRDefault="009C1CA3" w:rsidP="009C1CA3">
      <w:pPr>
        <w:spacing w:after="0" w:line="240" w:lineRule="auto"/>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забрюшинное или внутричерепное кровотечения</w:t>
      </w:r>
    </w:p>
    <w:p w14:paraId="315965E3" w14:textId="02981801" w:rsidR="00C201B3" w:rsidRPr="006C4A45" w:rsidRDefault="00D91FB4" w:rsidP="00D91FB4">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Как и в случае с другими антикоагулянтами, кровотечение может возникать при наличии связанных с ним факторов риска, таких как</w:t>
      </w:r>
      <w:r w:rsidR="009C1CA3" w:rsidRPr="006C4A45">
        <w:rPr>
          <w:rFonts w:ascii="Times New Roman" w:eastAsia="Calibri" w:hAnsi="Times New Roman" w:cs="Times New Roman"/>
          <w:bCs/>
          <w:sz w:val="24"/>
          <w:szCs w:val="24"/>
        </w:rPr>
        <w:t>:</w:t>
      </w:r>
    </w:p>
    <w:p w14:paraId="628AB045" w14:textId="47759FDD" w:rsidR="00D91FB4" w:rsidRPr="006C4A45" w:rsidRDefault="009C1CA3" w:rsidP="009C1CA3">
      <w:pPr>
        <w:spacing w:after="0" w:line="240" w:lineRule="auto"/>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 xml:space="preserve">органические поражения, склонные к кровоточивости </w:t>
      </w:r>
    </w:p>
    <w:p w14:paraId="7D991F41" w14:textId="2BE488BF" w:rsidR="00D91FB4" w:rsidRPr="006C4A45" w:rsidRDefault="009C1CA3" w:rsidP="009C1CA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 </w:t>
      </w:r>
      <w:r w:rsidR="00D91FB4" w:rsidRPr="006C4A45">
        <w:rPr>
          <w:rFonts w:ascii="Times New Roman" w:eastAsia="Calibri" w:hAnsi="Times New Roman" w:cs="Times New Roman"/>
          <w:bCs/>
          <w:sz w:val="24"/>
          <w:szCs w:val="24"/>
        </w:rPr>
        <w:t>инвазивные процедуры или сопутствующее применение лекарств, влияющих на гемостаз</w:t>
      </w:r>
      <w:r w:rsidR="00C201B3" w:rsidRPr="006C4A45">
        <w:rPr>
          <w:rFonts w:ascii="Times New Roman" w:eastAsia="Calibri" w:hAnsi="Times New Roman" w:cs="Times New Roman"/>
          <w:bCs/>
          <w:sz w:val="24"/>
          <w:szCs w:val="24"/>
        </w:rPr>
        <w:t xml:space="preserve"> (см. раздел 4.4 и 4.5).</w:t>
      </w:r>
    </w:p>
    <w:tbl>
      <w:tblPr>
        <w:tblStyle w:val="aa"/>
        <w:tblW w:w="0" w:type="auto"/>
        <w:tblLook w:val="04A0" w:firstRow="1" w:lastRow="0" w:firstColumn="1" w:lastColumn="0" w:noHBand="0" w:noVBand="1"/>
      </w:tblPr>
      <w:tblGrid>
        <w:gridCol w:w="1178"/>
        <w:gridCol w:w="1556"/>
        <w:gridCol w:w="1213"/>
        <w:gridCol w:w="1303"/>
        <w:gridCol w:w="1239"/>
        <w:gridCol w:w="1556"/>
        <w:gridCol w:w="1242"/>
      </w:tblGrid>
      <w:tr w:rsidR="003B2461" w:rsidRPr="006C4A45" w14:paraId="571B4B7C" w14:textId="77777777" w:rsidTr="003B2461">
        <w:tc>
          <w:tcPr>
            <w:tcW w:w="1326" w:type="dxa"/>
          </w:tcPr>
          <w:p w14:paraId="18770B82" w14:textId="37FFDF67"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Системно-органный класс</w:t>
            </w:r>
          </w:p>
        </w:tc>
        <w:tc>
          <w:tcPr>
            <w:tcW w:w="1192" w:type="dxa"/>
          </w:tcPr>
          <w:p w14:paraId="2A01436F" w14:textId="7BEC0DB4"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хирургических больных</w:t>
            </w:r>
          </w:p>
        </w:tc>
        <w:tc>
          <w:tcPr>
            <w:tcW w:w="1822" w:type="dxa"/>
          </w:tcPr>
          <w:p w14:paraId="0D84BE90" w14:textId="2D8F2991"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медицинских пациентов</w:t>
            </w:r>
          </w:p>
        </w:tc>
        <w:tc>
          <w:tcPr>
            <w:tcW w:w="1411" w:type="dxa"/>
          </w:tcPr>
          <w:p w14:paraId="388F477F" w14:textId="4E263939"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 xml:space="preserve">Лечение пациентов с тромбозом глубоких вен с тромбоэмболией </w:t>
            </w:r>
            <w:r w:rsidRPr="006C4A45">
              <w:rPr>
                <w:rFonts w:ascii="Times New Roman" w:hAnsi="Times New Roman"/>
                <w:b/>
                <w:sz w:val="24"/>
                <w:szCs w:val="24"/>
              </w:rPr>
              <w:lastRenderedPageBreak/>
              <w:t>легочной артерии или без нее</w:t>
            </w:r>
          </w:p>
        </w:tc>
        <w:tc>
          <w:tcPr>
            <w:tcW w:w="1337" w:type="dxa"/>
          </w:tcPr>
          <w:p w14:paraId="632F3D93" w14:textId="7F1B3241" w:rsidR="004B5DDA"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lastRenderedPageBreak/>
              <w:t>Длительное лечение тромбоза глубоких вен (ТГВ) и</w:t>
            </w:r>
          </w:p>
          <w:p w14:paraId="265A0B84" w14:textId="77777777" w:rsidR="004B5DDA"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t xml:space="preserve">тромбоэмболии </w:t>
            </w:r>
            <w:r w:rsidRPr="006C4A45">
              <w:rPr>
                <w:rFonts w:ascii="Times New Roman" w:hAnsi="Times New Roman"/>
                <w:b/>
                <w:sz w:val="24"/>
                <w:szCs w:val="24"/>
              </w:rPr>
              <w:lastRenderedPageBreak/>
              <w:t>легочной артерии (ТЭЛА) и профилактика их рецидивов у пациентов с активным</w:t>
            </w:r>
          </w:p>
          <w:p w14:paraId="6BB69AEA" w14:textId="67789BFF" w:rsidR="00C201B3" w:rsidRPr="006C4A45" w:rsidRDefault="004B5DDA" w:rsidP="004B5DDA">
            <w:pPr>
              <w:spacing w:after="0" w:line="240" w:lineRule="auto"/>
              <w:jc w:val="both"/>
              <w:rPr>
                <w:rFonts w:ascii="Times New Roman" w:hAnsi="Times New Roman"/>
                <w:b/>
                <w:sz w:val="24"/>
                <w:szCs w:val="24"/>
              </w:rPr>
            </w:pPr>
            <w:r w:rsidRPr="006C4A45">
              <w:rPr>
                <w:rFonts w:ascii="Times New Roman" w:hAnsi="Times New Roman"/>
                <w:b/>
                <w:sz w:val="24"/>
                <w:szCs w:val="24"/>
              </w:rPr>
              <w:t>раком</w:t>
            </w:r>
          </w:p>
        </w:tc>
        <w:tc>
          <w:tcPr>
            <w:tcW w:w="1196" w:type="dxa"/>
          </w:tcPr>
          <w:p w14:paraId="576203A9" w14:textId="6178DA56"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lastRenderedPageBreak/>
              <w:t>Лечение пациентов с нестабильной стенокардией и инфарктом миокарда без зубца Q</w:t>
            </w:r>
          </w:p>
        </w:tc>
        <w:tc>
          <w:tcPr>
            <w:tcW w:w="1003" w:type="dxa"/>
          </w:tcPr>
          <w:p w14:paraId="66333F96" w14:textId="495FD6C8" w:rsidR="00C201B3" w:rsidRPr="006C4A45" w:rsidRDefault="00C201B3" w:rsidP="00C201B3">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острым инфарктом миокарда с подъемо</w:t>
            </w:r>
            <w:r w:rsidRPr="006C4A45">
              <w:rPr>
                <w:rFonts w:ascii="Times New Roman" w:hAnsi="Times New Roman"/>
                <w:b/>
                <w:sz w:val="24"/>
                <w:szCs w:val="24"/>
              </w:rPr>
              <w:lastRenderedPageBreak/>
              <w:t>м сегмента ST</w:t>
            </w:r>
          </w:p>
        </w:tc>
      </w:tr>
      <w:tr w:rsidR="003B2461" w:rsidRPr="006C4A45" w14:paraId="4E02C07F" w14:textId="77777777" w:rsidTr="003B2461">
        <w:tc>
          <w:tcPr>
            <w:tcW w:w="1326" w:type="dxa"/>
          </w:tcPr>
          <w:p w14:paraId="4D2BC6C3" w14:textId="387593C7" w:rsidR="00C201B3" w:rsidRPr="006C4A45" w:rsidRDefault="00C201B3"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lastRenderedPageBreak/>
              <w:t>Заболевания крови и лимфатической системы</w:t>
            </w:r>
          </w:p>
        </w:tc>
        <w:tc>
          <w:tcPr>
            <w:tcW w:w="1192" w:type="dxa"/>
          </w:tcPr>
          <w:p w14:paraId="2837A649"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6E0E2EB4" w14:textId="77777777" w:rsidR="00C201B3" w:rsidRPr="006C4A45" w:rsidRDefault="00C201B3" w:rsidP="00C201B3">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1C7A0A8A"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Редко:</w:t>
            </w:r>
          </w:p>
          <w:p w14:paraId="23750434" w14:textId="0986B64B" w:rsidR="00C201B3" w:rsidRPr="006C4A45" w:rsidRDefault="00C201B3" w:rsidP="00C201B3">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Ретроперитонеальное</w:t>
            </w:r>
            <w:proofErr w:type="spellEnd"/>
            <w:r w:rsidRPr="006C4A45">
              <w:rPr>
                <w:rFonts w:ascii="Times New Roman" w:hAnsi="Times New Roman"/>
                <w:bCs/>
                <w:sz w:val="24"/>
                <w:szCs w:val="24"/>
              </w:rPr>
              <w:t xml:space="preserve"> </w:t>
            </w:r>
            <w:r w:rsidR="003B2461" w:rsidRPr="006C4A45">
              <w:rPr>
                <w:rFonts w:ascii="Times New Roman" w:hAnsi="Times New Roman"/>
                <w:bCs/>
                <w:sz w:val="24"/>
                <w:szCs w:val="24"/>
              </w:rPr>
              <w:t>кровотечение</w:t>
            </w:r>
          </w:p>
        </w:tc>
        <w:tc>
          <w:tcPr>
            <w:tcW w:w="1822" w:type="dxa"/>
          </w:tcPr>
          <w:p w14:paraId="7DCCF0F9" w14:textId="77777777" w:rsidR="00C201B3" w:rsidRPr="006C4A45" w:rsidRDefault="00C201B3"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5B2EFECE" w14:textId="2907BAAC" w:rsidR="00C201B3" w:rsidRPr="006C4A45" w:rsidRDefault="00C201B3" w:rsidP="00C201B3">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tc>
        <w:tc>
          <w:tcPr>
            <w:tcW w:w="1411" w:type="dxa"/>
          </w:tcPr>
          <w:p w14:paraId="56C767DA"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3AE7F222" w14:textId="77777777" w:rsidR="003B2461" w:rsidRPr="006C4A45" w:rsidRDefault="003B2461" w:rsidP="003B2461">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34F1FC5A" w14:textId="66C3AFF3" w:rsidR="00C201B3" w:rsidRPr="006C4A45" w:rsidRDefault="003B2461" w:rsidP="00C201B3">
            <w:pPr>
              <w:spacing w:after="0" w:line="240" w:lineRule="auto"/>
              <w:jc w:val="both"/>
              <w:rPr>
                <w:rFonts w:ascii="Times New Roman" w:hAnsi="Times New Roman"/>
                <w:bCs/>
                <w:sz w:val="24"/>
                <w:szCs w:val="24"/>
              </w:rPr>
            </w:pPr>
            <w:r w:rsidRPr="006C4A45">
              <w:rPr>
                <w:rFonts w:ascii="Times New Roman" w:hAnsi="Times New Roman"/>
                <w:bCs/>
                <w:i/>
                <w:iCs/>
                <w:sz w:val="24"/>
                <w:szCs w:val="24"/>
              </w:rPr>
              <w:t>Нечасто:</w:t>
            </w:r>
            <w:r w:rsidRPr="006C4A45">
              <w:rPr>
                <w:rFonts w:ascii="Times New Roman" w:hAnsi="Times New Roman"/>
                <w:bCs/>
                <w:sz w:val="24"/>
                <w:szCs w:val="24"/>
              </w:rPr>
              <w:t xml:space="preserve"> Внутричерепное кровотечение, Забрюшинное кровотечение</w:t>
            </w:r>
          </w:p>
        </w:tc>
        <w:tc>
          <w:tcPr>
            <w:tcW w:w="1337" w:type="dxa"/>
          </w:tcPr>
          <w:p w14:paraId="6CD08A5C" w14:textId="1758C9D6"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r w:rsidRPr="006C4A45">
              <w:rPr>
                <w:rFonts w:ascii="Times New Roman" w:hAnsi="Times New Roman"/>
                <w:bCs/>
                <w:i/>
                <w:iCs/>
                <w:sz w:val="24"/>
                <w:szCs w:val="24"/>
                <w:vertAlign w:val="superscript"/>
                <w:lang w:val="en-US"/>
              </w:rPr>
              <w:t>b</w:t>
            </w:r>
            <w:r w:rsidRPr="006C4A45">
              <w:rPr>
                <w:rFonts w:ascii="Times New Roman" w:hAnsi="Times New Roman"/>
                <w:bCs/>
                <w:i/>
                <w:iCs/>
                <w:sz w:val="24"/>
                <w:szCs w:val="24"/>
              </w:rPr>
              <w:t>:</w:t>
            </w:r>
          </w:p>
          <w:p w14:paraId="426AE887" w14:textId="286D8A47" w:rsidR="00C201B3" w:rsidRPr="006C4A45" w:rsidRDefault="003B2461"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кровотечение</w:t>
            </w:r>
          </w:p>
        </w:tc>
        <w:tc>
          <w:tcPr>
            <w:tcW w:w="1196" w:type="dxa"/>
          </w:tcPr>
          <w:p w14:paraId="6BA08D6A"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48D4BE48" w14:textId="77777777" w:rsidR="00C201B3" w:rsidRPr="006C4A45" w:rsidRDefault="003B2461" w:rsidP="003B2461">
            <w:pPr>
              <w:spacing w:after="0" w:line="240" w:lineRule="auto"/>
              <w:jc w:val="both"/>
              <w:rPr>
                <w:rFonts w:ascii="Times New Roman" w:hAnsi="Times New Roman"/>
                <w:bCs/>
                <w:sz w:val="24"/>
                <w:szCs w:val="24"/>
                <w:vertAlign w:val="superscript"/>
              </w:rPr>
            </w:pPr>
            <w:proofErr w:type="spellStart"/>
            <w:r w:rsidRPr="006C4A45">
              <w:rPr>
                <w:rFonts w:ascii="Times New Roman" w:hAnsi="Times New Roman"/>
                <w:bCs/>
                <w:sz w:val="24"/>
                <w:szCs w:val="24"/>
              </w:rPr>
              <w:t>кровотечение</w:t>
            </w:r>
            <w:r w:rsidRPr="006C4A45">
              <w:rPr>
                <w:rFonts w:ascii="Times New Roman" w:hAnsi="Times New Roman"/>
                <w:bCs/>
                <w:sz w:val="24"/>
                <w:szCs w:val="24"/>
                <w:vertAlign w:val="superscript"/>
              </w:rPr>
              <w:t>а</w:t>
            </w:r>
            <w:proofErr w:type="spellEnd"/>
          </w:p>
          <w:p w14:paraId="2240DC4B"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Редко:</w:t>
            </w:r>
          </w:p>
          <w:p w14:paraId="1A676919" w14:textId="3804B9C3" w:rsidR="003B2461" w:rsidRPr="006C4A45" w:rsidRDefault="003B2461" w:rsidP="003B2461">
            <w:pPr>
              <w:spacing w:after="0" w:line="240" w:lineRule="auto"/>
              <w:jc w:val="both"/>
              <w:rPr>
                <w:rFonts w:ascii="Times New Roman" w:hAnsi="Times New Roman"/>
                <w:bCs/>
                <w:sz w:val="24"/>
                <w:szCs w:val="24"/>
              </w:rPr>
            </w:pPr>
            <w:proofErr w:type="spellStart"/>
            <w:r w:rsidRPr="006C4A45">
              <w:rPr>
                <w:rFonts w:ascii="Times New Roman" w:hAnsi="Times New Roman"/>
                <w:bCs/>
                <w:sz w:val="24"/>
                <w:szCs w:val="24"/>
              </w:rPr>
              <w:t>Ретроперитонеальное</w:t>
            </w:r>
            <w:proofErr w:type="spellEnd"/>
            <w:r w:rsidRPr="006C4A45">
              <w:rPr>
                <w:rFonts w:ascii="Times New Roman" w:hAnsi="Times New Roman"/>
                <w:bCs/>
                <w:sz w:val="24"/>
                <w:szCs w:val="24"/>
              </w:rPr>
              <w:t xml:space="preserve"> кровотечение</w:t>
            </w:r>
          </w:p>
        </w:tc>
        <w:tc>
          <w:tcPr>
            <w:tcW w:w="1003" w:type="dxa"/>
          </w:tcPr>
          <w:p w14:paraId="1FDA71A4" w14:textId="77777777" w:rsidR="003B2461" w:rsidRPr="006C4A45" w:rsidRDefault="003B2461" w:rsidP="003B2461">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r w:rsidRPr="006C4A45">
              <w:rPr>
                <w:rFonts w:ascii="Times New Roman" w:hAnsi="Times New Roman"/>
                <w:bCs/>
                <w:i/>
                <w:iCs/>
                <w:sz w:val="24"/>
                <w:szCs w:val="24"/>
                <w:vertAlign w:val="superscript"/>
                <w:lang w:val="en-US"/>
              </w:rPr>
              <w:t>b</w:t>
            </w:r>
            <w:r w:rsidRPr="006C4A45">
              <w:rPr>
                <w:rFonts w:ascii="Times New Roman" w:hAnsi="Times New Roman"/>
                <w:bCs/>
                <w:i/>
                <w:iCs/>
                <w:sz w:val="24"/>
                <w:szCs w:val="24"/>
              </w:rPr>
              <w:t>:</w:t>
            </w:r>
          </w:p>
          <w:p w14:paraId="380DB34E" w14:textId="46030A44" w:rsidR="00C201B3" w:rsidRPr="006C4A45" w:rsidRDefault="003B2461" w:rsidP="003B2461">
            <w:pPr>
              <w:spacing w:after="0" w:line="240" w:lineRule="auto"/>
              <w:jc w:val="both"/>
              <w:rPr>
                <w:rFonts w:ascii="Times New Roman" w:hAnsi="Times New Roman"/>
                <w:bCs/>
                <w:sz w:val="24"/>
                <w:szCs w:val="24"/>
              </w:rPr>
            </w:pPr>
            <w:r w:rsidRPr="006C4A45">
              <w:rPr>
                <w:rFonts w:ascii="Times New Roman" w:hAnsi="Times New Roman"/>
                <w:bCs/>
                <w:sz w:val="24"/>
                <w:szCs w:val="24"/>
              </w:rPr>
              <w:t>Кровотечение</w:t>
            </w:r>
          </w:p>
          <w:p w14:paraId="0C37A6B2" w14:textId="1409B84E" w:rsidR="003B2461" w:rsidRPr="006C4A45" w:rsidRDefault="003B2461" w:rsidP="003B2461">
            <w:pPr>
              <w:spacing w:after="0" w:line="240" w:lineRule="auto"/>
              <w:jc w:val="both"/>
              <w:rPr>
                <w:rFonts w:ascii="Times New Roman" w:hAnsi="Times New Roman"/>
                <w:bCs/>
                <w:sz w:val="24"/>
                <w:szCs w:val="24"/>
              </w:rPr>
            </w:pPr>
            <w:r w:rsidRPr="006C4A45">
              <w:rPr>
                <w:rFonts w:ascii="Times New Roman" w:hAnsi="Times New Roman"/>
                <w:bCs/>
                <w:i/>
                <w:iCs/>
                <w:sz w:val="24"/>
                <w:szCs w:val="24"/>
              </w:rPr>
              <w:t>Нечасто:</w:t>
            </w:r>
            <w:r w:rsidRPr="006C4A45">
              <w:rPr>
                <w:rFonts w:ascii="Times New Roman" w:hAnsi="Times New Roman"/>
                <w:bCs/>
                <w:sz w:val="24"/>
                <w:szCs w:val="24"/>
              </w:rPr>
              <w:t xml:space="preserve"> Внутричерепное кровотечение, Забрюшинное кровотечение</w:t>
            </w:r>
          </w:p>
        </w:tc>
      </w:tr>
    </w:tbl>
    <w:p w14:paraId="48A9D14D" w14:textId="2FA32678" w:rsidR="00C201B3" w:rsidRPr="006C4A45" w:rsidRDefault="00E453E7" w:rsidP="00C201B3">
      <w:pPr>
        <w:spacing w:after="0" w:line="240" w:lineRule="auto"/>
        <w:jc w:val="both"/>
        <w:rPr>
          <w:rFonts w:ascii="Times New Roman" w:eastAsia="Calibri" w:hAnsi="Times New Roman" w:cs="Times New Roman"/>
          <w:bCs/>
          <w:sz w:val="20"/>
          <w:szCs w:val="20"/>
        </w:rPr>
      </w:pPr>
      <w:r w:rsidRPr="006C4A45">
        <w:rPr>
          <w:rFonts w:ascii="Times New Roman" w:eastAsia="Calibri" w:hAnsi="Times New Roman" w:cs="Times New Roman"/>
          <w:bCs/>
          <w:sz w:val="20"/>
          <w:szCs w:val="20"/>
          <w:vertAlign w:val="superscript"/>
        </w:rPr>
        <w:t>а</w:t>
      </w:r>
      <w:r w:rsidRPr="006C4A45">
        <w:rPr>
          <w:rFonts w:ascii="Times New Roman" w:eastAsia="Calibri" w:hAnsi="Times New Roman" w:cs="Times New Roman"/>
          <w:bCs/>
          <w:sz w:val="20"/>
          <w:szCs w:val="20"/>
        </w:rPr>
        <w:t xml:space="preserve"> такие как гематома, экхимоз, отличный от кровоподтека в месте инъекции, гематома раны, гематурия, носовое кровотечение и желудочно-кишечное кровотечение</w:t>
      </w:r>
    </w:p>
    <w:p w14:paraId="21079965" w14:textId="0A3B69BF" w:rsidR="00E453E7" w:rsidRPr="006C4A45" w:rsidRDefault="00E453E7" w:rsidP="00C201B3">
      <w:pPr>
        <w:spacing w:after="0" w:line="240" w:lineRule="auto"/>
        <w:jc w:val="both"/>
        <w:rPr>
          <w:rFonts w:ascii="Times New Roman" w:eastAsia="Calibri" w:hAnsi="Times New Roman" w:cs="Times New Roman"/>
          <w:bCs/>
          <w:sz w:val="20"/>
          <w:szCs w:val="20"/>
        </w:rPr>
      </w:pPr>
      <w:r w:rsidRPr="006C4A45">
        <w:rPr>
          <w:rFonts w:ascii="Times New Roman" w:eastAsia="Calibri" w:hAnsi="Times New Roman" w:cs="Times New Roman"/>
          <w:bCs/>
          <w:sz w:val="20"/>
          <w:szCs w:val="20"/>
          <w:vertAlign w:val="superscript"/>
          <w:lang w:val="en-US"/>
        </w:rPr>
        <w:t>b</w:t>
      </w:r>
      <w:r w:rsidRPr="006C4A45">
        <w:rPr>
          <w:rFonts w:ascii="Times New Roman" w:eastAsia="Calibri" w:hAnsi="Times New Roman" w:cs="Times New Roman"/>
          <w:bCs/>
          <w:sz w:val="20"/>
          <w:szCs w:val="20"/>
        </w:rPr>
        <w:t xml:space="preserve"> частота основана на ретроспективном исследовании регистра, включающего 3526 пациентов (см. раздел 5.1)</w:t>
      </w:r>
    </w:p>
    <w:p w14:paraId="40EE0C76" w14:textId="051CE6C6" w:rsidR="00E453E7" w:rsidRPr="006C4A45" w:rsidRDefault="00E453E7" w:rsidP="00C201B3">
      <w:pPr>
        <w:spacing w:after="0" w:line="240" w:lineRule="auto"/>
        <w:jc w:val="both"/>
        <w:rPr>
          <w:rFonts w:ascii="Times New Roman" w:eastAsia="Calibri" w:hAnsi="Times New Roman" w:cs="Times New Roman"/>
          <w:bCs/>
          <w:i/>
          <w:iCs/>
          <w:sz w:val="24"/>
          <w:szCs w:val="24"/>
        </w:rPr>
      </w:pPr>
      <w:r w:rsidRPr="006C4A45">
        <w:rPr>
          <w:rFonts w:ascii="Times New Roman" w:eastAsia="Calibri" w:hAnsi="Times New Roman" w:cs="Times New Roman"/>
          <w:bCs/>
          <w:i/>
          <w:iCs/>
          <w:sz w:val="24"/>
          <w:szCs w:val="24"/>
        </w:rPr>
        <w:t>Тромбоцитопения и тромбоцитоз (см. раздел 4.4 мониторинг количества тромбоцитов)</w:t>
      </w:r>
    </w:p>
    <w:tbl>
      <w:tblPr>
        <w:tblStyle w:val="aa"/>
        <w:tblW w:w="0" w:type="auto"/>
        <w:tblLook w:val="04A0" w:firstRow="1" w:lastRow="0" w:firstColumn="1" w:lastColumn="0" w:noHBand="0" w:noVBand="1"/>
      </w:tblPr>
      <w:tblGrid>
        <w:gridCol w:w="1152"/>
        <w:gridCol w:w="1312"/>
        <w:gridCol w:w="1312"/>
        <w:gridCol w:w="1312"/>
        <w:gridCol w:w="1312"/>
        <w:gridCol w:w="1312"/>
        <w:gridCol w:w="1575"/>
      </w:tblGrid>
      <w:tr w:rsidR="00E453E7" w:rsidRPr="006C4A45" w14:paraId="78E51160" w14:textId="77777777" w:rsidTr="00F10F8C">
        <w:tc>
          <w:tcPr>
            <w:tcW w:w="1152" w:type="dxa"/>
          </w:tcPr>
          <w:p w14:paraId="03FE1316" w14:textId="4878BC48"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Системно-органный класс</w:t>
            </w:r>
          </w:p>
        </w:tc>
        <w:tc>
          <w:tcPr>
            <w:tcW w:w="1312" w:type="dxa"/>
          </w:tcPr>
          <w:p w14:paraId="452EEA11" w14:textId="5ADBE5F4"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хирургических больных</w:t>
            </w:r>
          </w:p>
        </w:tc>
        <w:tc>
          <w:tcPr>
            <w:tcW w:w="1312" w:type="dxa"/>
          </w:tcPr>
          <w:p w14:paraId="33D6550F" w14:textId="4111ACA3"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Профилактика у медицинских пациентов</w:t>
            </w:r>
          </w:p>
        </w:tc>
        <w:tc>
          <w:tcPr>
            <w:tcW w:w="1312" w:type="dxa"/>
          </w:tcPr>
          <w:p w14:paraId="4089F3D8" w14:textId="5E18D1BD"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тромбозом глубоких вен с тромбоэмболией легочной артерии или без нее</w:t>
            </w:r>
          </w:p>
        </w:tc>
        <w:tc>
          <w:tcPr>
            <w:tcW w:w="1312" w:type="dxa"/>
          </w:tcPr>
          <w:p w14:paraId="075C85AE" w14:textId="79332868"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Расширенное лечение тромбоза глубоких вен и тромбоэмболии легочной артерии у пациентов с активным раком</w:t>
            </w:r>
          </w:p>
        </w:tc>
        <w:tc>
          <w:tcPr>
            <w:tcW w:w="1312" w:type="dxa"/>
          </w:tcPr>
          <w:p w14:paraId="03812062" w14:textId="3AA21B70"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нестабильной стенокардией и инфарктом миокарда без зубца Q</w:t>
            </w:r>
          </w:p>
        </w:tc>
        <w:tc>
          <w:tcPr>
            <w:tcW w:w="1575" w:type="dxa"/>
          </w:tcPr>
          <w:p w14:paraId="0BC3FD9C" w14:textId="780362B0" w:rsidR="00E453E7" w:rsidRPr="006C4A45" w:rsidRDefault="00E453E7" w:rsidP="00E453E7">
            <w:pPr>
              <w:spacing w:after="0" w:line="240" w:lineRule="auto"/>
              <w:jc w:val="both"/>
              <w:rPr>
                <w:rFonts w:ascii="Times New Roman" w:hAnsi="Times New Roman"/>
                <w:b/>
                <w:sz w:val="24"/>
                <w:szCs w:val="24"/>
              </w:rPr>
            </w:pPr>
            <w:r w:rsidRPr="006C4A45">
              <w:rPr>
                <w:rFonts w:ascii="Times New Roman" w:hAnsi="Times New Roman"/>
                <w:b/>
                <w:sz w:val="24"/>
                <w:szCs w:val="24"/>
              </w:rPr>
              <w:t>Лечение пациентов с острым инфарктом миокарда с подъемом сегмента ST</w:t>
            </w:r>
          </w:p>
        </w:tc>
      </w:tr>
      <w:tr w:rsidR="00E453E7" w:rsidRPr="006C4A45" w14:paraId="61EBB002" w14:textId="77777777" w:rsidTr="00F10F8C">
        <w:tc>
          <w:tcPr>
            <w:tcW w:w="1152" w:type="dxa"/>
          </w:tcPr>
          <w:p w14:paraId="06D88990" w14:textId="09BC30C6"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Заболевания крови и лимфатической системы</w:t>
            </w:r>
          </w:p>
        </w:tc>
        <w:tc>
          <w:tcPr>
            <w:tcW w:w="1312" w:type="dxa"/>
          </w:tcPr>
          <w:p w14:paraId="3490ADBE"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60BB7811"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3C220C30" w14:textId="10D0368C"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i/>
                <w:iCs/>
                <w:sz w:val="24"/>
                <w:szCs w:val="24"/>
              </w:rPr>
              <w:t>Часто:</w:t>
            </w:r>
            <w:r w:rsidRPr="006C4A45">
              <w:rPr>
                <w:rFonts w:ascii="Times New Roman" w:hAnsi="Times New Roman"/>
                <w:bCs/>
                <w:sz w:val="24"/>
                <w:szCs w:val="24"/>
              </w:rPr>
              <w:t xml:space="preserve"> Тромбоцитопения</w:t>
            </w:r>
          </w:p>
        </w:tc>
        <w:tc>
          <w:tcPr>
            <w:tcW w:w="1312" w:type="dxa"/>
          </w:tcPr>
          <w:p w14:paraId="0F39E7CF" w14:textId="77777777" w:rsidR="00E453E7" w:rsidRPr="006C4A45" w:rsidRDefault="00E453E7" w:rsidP="00C201B3">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Нечасто:</w:t>
            </w:r>
          </w:p>
          <w:p w14:paraId="013A7418" w14:textId="2993F296"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31989CCA"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Очень часто:</w:t>
            </w:r>
          </w:p>
          <w:p w14:paraId="46C3D15E"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69316C57" w14:textId="0D5E1F7B"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3A846A5A" w14:textId="2816237F"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596D73F6"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Неизвестно:</w:t>
            </w:r>
          </w:p>
          <w:p w14:paraId="04F0C9EE" w14:textId="57069163"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312" w:type="dxa"/>
          </w:tcPr>
          <w:p w14:paraId="4360096E" w14:textId="77777777"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Неизвестно:</w:t>
            </w:r>
          </w:p>
          <w:p w14:paraId="247F5620" w14:textId="5656A01E" w:rsidR="00E453E7" w:rsidRPr="006C4A45" w:rsidRDefault="00E453E7" w:rsidP="00E453E7">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tc>
        <w:tc>
          <w:tcPr>
            <w:tcW w:w="1575" w:type="dxa"/>
          </w:tcPr>
          <w:p w14:paraId="440CE643" w14:textId="3327D2FF" w:rsidR="00E453E7" w:rsidRPr="006C4A45" w:rsidRDefault="00E453E7" w:rsidP="00E453E7">
            <w:pPr>
              <w:spacing w:after="0" w:line="240" w:lineRule="auto"/>
              <w:jc w:val="both"/>
              <w:rPr>
                <w:rFonts w:ascii="Times New Roman" w:hAnsi="Times New Roman"/>
                <w:bCs/>
                <w:i/>
                <w:iCs/>
                <w:sz w:val="24"/>
                <w:szCs w:val="24"/>
              </w:rPr>
            </w:pPr>
            <w:r w:rsidRPr="006C4A45">
              <w:rPr>
                <w:rFonts w:ascii="Times New Roman" w:hAnsi="Times New Roman"/>
                <w:bCs/>
                <w:i/>
                <w:iCs/>
                <w:sz w:val="24"/>
                <w:szCs w:val="24"/>
              </w:rPr>
              <w:t>Часто:</w:t>
            </w:r>
          </w:p>
          <w:p w14:paraId="3DEA5F26" w14:textId="77777777" w:rsidR="00E453E7" w:rsidRPr="006C4A45" w:rsidRDefault="00E453E7" w:rsidP="00E453E7">
            <w:pPr>
              <w:spacing w:after="0" w:line="240" w:lineRule="auto"/>
              <w:jc w:val="both"/>
              <w:rPr>
                <w:rFonts w:ascii="Times New Roman" w:hAnsi="Times New Roman"/>
                <w:bCs/>
                <w:sz w:val="24"/>
                <w:szCs w:val="24"/>
                <w:vertAlign w:val="superscript"/>
              </w:rPr>
            </w:pPr>
            <w:r w:rsidRPr="006C4A45">
              <w:rPr>
                <w:rFonts w:ascii="Times New Roman" w:hAnsi="Times New Roman"/>
                <w:bCs/>
                <w:sz w:val="24"/>
                <w:szCs w:val="24"/>
              </w:rPr>
              <w:t>Тромбоцитоз</w:t>
            </w:r>
            <w:r w:rsidRPr="006C4A45">
              <w:rPr>
                <w:rFonts w:ascii="Times New Roman" w:hAnsi="Times New Roman"/>
                <w:bCs/>
                <w:sz w:val="24"/>
                <w:szCs w:val="24"/>
                <w:vertAlign w:val="superscript"/>
                <w:lang w:val="en-US"/>
              </w:rPr>
              <w:t>c</w:t>
            </w:r>
          </w:p>
          <w:p w14:paraId="42DA2AB6" w14:textId="77777777"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sz w:val="24"/>
                <w:szCs w:val="24"/>
              </w:rPr>
              <w:t>Тромбоцитопения</w:t>
            </w:r>
          </w:p>
          <w:p w14:paraId="4417D8F9" w14:textId="1289197A" w:rsidR="00E453E7" w:rsidRPr="006C4A45" w:rsidRDefault="00E453E7" w:rsidP="00C201B3">
            <w:pPr>
              <w:spacing w:after="0" w:line="240" w:lineRule="auto"/>
              <w:jc w:val="both"/>
              <w:rPr>
                <w:rFonts w:ascii="Times New Roman" w:hAnsi="Times New Roman"/>
                <w:bCs/>
                <w:sz w:val="24"/>
                <w:szCs w:val="24"/>
              </w:rPr>
            </w:pPr>
            <w:r w:rsidRPr="006C4A45">
              <w:rPr>
                <w:rFonts w:ascii="Times New Roman" w:hAnsi="Times New Roman"/>
                <w:bCs/>
                <w:i/>
                <w:iCs/>
                <w:sz w:val="24"/>
                <w:szCs w:val="24"/>
              </w:rPr>
              <w:t>Очень редко:</w:t>
            </w:r>
            <w:r w:rsidRPr="006C4A45">
              <w:rPr>
                <w:rFonts w:ascii="Times New Roman" w:hAnsi="Times New Roman"/>
                <w:bCs/>
                <w:sz w:val="24"/>
                <w:szCs w:val="24"/>
              </w:rPr>
              <w:t xml:space="preserve"> Иммуноалле</w:t>
            </w:r>
            <w:r w:rsidRPr="006C4A45">
              <w:rPr>
                <w:rFonts w:ascii="Times New Roman" w:hAnsi="Times New Roman"/>
                <w:bCs/>
                <w:sz w:val="24"/>
                <w:szCs w:val="24"/>
              </w:rPr>
              <w:lastRenderedPageBreak/>
              <w:t>ргическая тромбоцитопения</w:t>
            </w:r>
          </w:p>
        </w:tc>
      </w:tr>
    </w:tbl>
    <w:p w14:paraId="28A922A8" w14:textId="4D686BFF" w:rsidR="00E453E7" w:rsidRPr="006C4A45" w:rsidRDefault="00F10F8C" w:rsidP="00C201B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vertAlign w:val="superscript"/>
        </w:rPr>
        <w:lastRenderedPageBreak/>
        <w:t>c</w:t>
      </w:r>
      <w:r w:rsidRPr="006C4A45">
        <w:rPr>
          <w:rFonts w:ascii="Times New Roman" w:eastAsia="Calibri" w:hAnsi="Times New Roman" w:cs="Times New Roman"/>
          <w:bCs/>
          <w:sz w:val="24"/>
          <w:szCs w:val="24"/>
        </w:rPr>
        <w:t>: Тромбоциты повышены &gt;400 Г/л</w:t>
      </w:r>
    </w:p>
    <w:p w14:paraId="3A03FB51" w14:textId="789B0B03" w:rsidR="00F10F8C" w:rsidRPr="006C4A45" w:rsidRDefault="00F10F8C" w:rsidP="00C201B3">
      <w:pPr>
        <w:spacing w:after="0" w:line="240" w:lineRule="auto"/>
        <w:jc w:val="both"/>
        <w:rPr>
          <w:rFonts w:ascii="Times New Roman" w:eastAsia="Calibri" w:hAnsi="Times New Roman" w:cs="Times New Roman"/>
          <w:bCs/>
          <w:i/>
          <w:iCs/>
          <w:sz w:val="24"/>
          <w:szCs w:val="24"/>
        </w:rPr>
      </w:pPr>
      <w:r w:rsidRPr="006C4A45">
        <w:rPr>
          <w:rFonts w:ascii="Times New Roman" w:eastAsia="Calibri" w:hAnsi="Times New Roman" w:cs="Times New Roman"/>
          <w:bCs/>
          <w:i/>
          <w:iCs/>
          <w:sz w:val="24"/>
          <w:szCs w:val="24"/>
        </w:rPr>
        <w:t>Дети</w:t>
      </w:r>
    </w:p>
    <w:p w14:paraId="4669D39A" w14:textId="1EA8CB4F" w:rsidR="00F10F8C" w:rsidRPr="006C4A45" w:rsidRDefault="00F10F8C" w:rsidP="00C201B3">
      <w:pPr>
        <w:spacing w:after="0" w:line="240" w:lineRule="auto"/>
        <w:jc w:val="both"/>
        <w:rPr>
          <w:rFonts w:ascii="Times New Roman" w:eastAsia="Calibri" w:hAnsi="Times New Roman" w:cs="Times New Roman"/>
          <w:bCs/>
          <w:sz w:val="24"/>
          <w:szCs w:val="24"/>
        </w:rPr>
      </w:pPr>
      <w:r w:rsidRPr="006C4A45">
        <w:rPr>
          <w:rFonts w:ascii="Times New Roman" w:eastAsia="Calibri" w:hAnsi="Times New Roman" w:cs="Times New Roman"/>
          <w:bCs/>
          <w:sz w:val="24"/>
          <w:szCs w:val="24"/>
        </w:rPr>
        <w:t xml:space="preserve">Безопасность и эффективность </w:t>
      </w:r>
      <w:proofErr w:type="spellStart"/>
      <w:r w:rsidRPr="006C4A45">
        <w:rPr>
          <w:rFonts w:ascii="Times New Roman" w:eastAsia="Calibri" w:hAnsi="Times New Roman" w:cs="Times New Roman"/>
          <w:bCs/>
          <w:sz w:val="24"/>
          <w:szCs w:val="24"/>
        </w:rPr>
        <w:t>эноксапарина</w:t>
      </w:r>
      <w:proofErr w:type="spellEnd"/>
      <w:r w:rsidRPr="006C4A45">
        <w:rPr>
          <w:rFonts w:ascii="Times New Roman" w:eastAsia="Calibri" w:hAnsi="Times New Roman" w:cs="Times New Roman"/>
          <w:bCs/>
          <w:sz w:val="24"/>
          <w:szCs w:val="24"/>
        </w:rPr>
        <w:t xml:space="preserve"> натрия у детей не установлены (см. раздел 4.2).</w:t>
      </w:r>
    </w:p>
    <w:p w14:paraId="69008ED8" w14:textId="77777777" w:rsidR="008A073E" w:rsidRPr="006C4A45" w:rsidRDefault="008A073E" w:rsidP="00D91FB4">
      <w:pPr>
        <w:shd w:val="clear" w:color="auto" w:fill="FFFFFF"/>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p>
    <w:p w14:paraId="18761587" w14:textId="77777777" w:rsidR="00D76AB5" w:rsidRPr="006C4A45" w:rsidRDefault="00D76AB5" w:rsidP="00D76AB5">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Сообщение о подозреваемых нежелательных реакциях </w:t>
      </w:r>
    </w:p>
    <w:p w14:paraId="0524AAA6" w14:textId="77777777" w:rsidR="00D76AB5" w:rsidRPr="006C4A45" w:rsidRDefault="00D76AB5" w:rsidP="00D76AB5">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6AB3442C" w14:textId="77777777" w:rsidR="00D76AB5" w:rsidRPr="006C4A45" w:rsidRDefault="00D76AB5" w:rsidP="00D76AB5">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РГП на ПХВ «Национальный Центр экспертизы лекарственных средств и медицинских изделий» </w:t>
      </w:r>
    </w:p>
    <w:p w14:paraId="7A4B29B7" w14:textId="77777777" w:rsidR="00D76AB5" w:rsidRPr="006C4A45" w:rsidRDefault="00DB674D" w:rsidP="00D76AB5">
      <w:pPr>
        <w:spacing w:after="0" w:line="240" w:lineRule="auto"/>
        <w:jc w:val="both"/>
        <w:rPr>
          <w:rFonts w:ascii="Times New Roman" w:hAnsi="Times New Roman" w:cs="Times New Roman"/>
          <w:sz w:val="24"/>
          <w:szCs w:val="24"/>
        </w:rPr>
      </w:pPr>
      <w:hyperlink r:id="rId5" w:history="1">
        <w:r w:rsidR="00D76AB5" w:rsidRPr="006C4A45">
          <w:rPr>
            <w:rStyle w:val="a3"/>
            <w:rFonts w:ascii="Times New Roman" w:hAnsi="Times New Roman" w:cs="Times New Roman"/>
            <w:sz w:val="24"/>
            <w:szCs w:val="24"/>
            <w:u w:val="none"/>
            <w:lang w:val="en-US"/>
          </w:rPr>
          <w:t>http</w:t>
        </w:r>
        <w:r w:rsidR="00D76AB5" w:rsidRPr="006C4A45">
          <w:rPr>
            <w:rStyle w:val="a3"/>
            <w:rFonts w:ascii="Times New Roman" w:hAnsi="Times New Roman" w:cs="Times New Roman"/>
            <w:sz w:val="24"/>
            <w:szCs w:val="24"/>
            <w:u w:val="none"/>
          </w:rPr>
          <w:t>://</w:t>
        </w:r>
        <w:r w:rsidR="00D76AB5" w:rsidRPr="006C4A45">
          <w:rPr>
            <w:rStyle w:val="a3"/>
            <w:rFonts w:ascii="Times New Roman" w:hAnsi="Times New Roman" w:cs="Times New Roman"/>
            <w:sz w:val="24"/>
            <w:szCs w:val="24"/>
            <w:u w:val="none"/>
            <w:lang w:val="en-US"/>
          </w:rPr>
          <w:t>www</w:t>
        </w:r>
        <w:r w:rsidR="00D76AB5" w:rsidRPr="006C4A45">
          <w:rPr>
            <w:rStyle w:val="a3"/>
            <w:rFonts w:ascii="Times New Roman" w:hAnsi="Times New Roman" w:cs="Times New Roman"/>
            <w:sz w:val="24"/>
            <w:szCs w:val="24"/>
            <w:u w:val="none"/>
          </w:rPr>
          <w:t>.</w:t>
        </w:r>
        <w:proofErr w:type="spellStart"/>
        <w:r w:rsidR="00D76AB5" w:rsidRPr="006C4A45">
          <w:rPr>
            <w:rStyle w:val="a3"/>
            <w:rFonts w:ascii="Times New Roman" w:hAnsi="Times New Roman" w:cs="Times New Roman"/>
            <w:sz w:val="24"/>
            <w:szCs w:val="24"/>
            <w:u w:val="none"/>
            <w:lang w:val="en-US"/>
          </w:rPr>
          <w:t>ndda</w:t>
        </w:r>
        <w:proofErr w:type="spellEnd"/>
        <w:r w:rsidR="00D76AB5" w:rsidRPr="006C4A45">
          <w:rPr>
            <w:rStyle w:val="a3"/>
            <w:rFonts w:ascii="Times New Roman" w:hAnsi="Times New Roman" w:cs="Times New Roman"/>
            <w:sz w:val="24"/>
            <w:szCs w:val="24"/>
            <w:u w:val="none"/>
          </w:rPr>
          <w:t>.</w:t>
        </w:r>
        <w:proofErr w:type="spellStart"/>
        <w:r w:rsidR="00D76AB5" w:rsidRPr="006C4A45">
          <w:rPr>
            <w:rStyle w:val="a3"/>
            <w:rFonts w:ascii="Times New Roman" w:hAnsi="Times New Roman" w:cs="Times New Roman"/>
            <w:sz w:val="24"/>
            <w:szCs w:val="24"/>
            <w:u w:val="none"/>
            <w:lang w:val="en-US"/>
          </w:rPr>
          <w:t>kz</w:t>
        </w:r>
        <w:proofErr w:type="spellEnd"/>
      </w:hyperlink>
      <w:r w:rsidR="00D76AB5" w:rsidRPr="006C4A45">
        <w:rPr>
          <w:rFonts w:ascii="Times New Roman" w:hAnsi="Times New Roman" w:cs="Times New Roman"/>
          <w:sz w:val="24"/>
          <w:szCs w:val="24"/>
        </w:rPr>
        <w:t xml:space="preserve"> </w:t>
      </w:r>
    </w:p>
    <w:p w14:paraId="308C5A9A" w14:textId="77777777" w:rsidR="00D76AB5" w:rsidRPr="006C4A45" w:rsidRDefault="00D76AB5" w:rsidP="00A75F5E">
      <w:pPr>
        <w:spacing w:after="0" w:line="240" w:lineRule="auto"/>
        <w:jc w:val="both"/>
        <w:rPr>
          <w:rFonts w:ascii="Times New Roman" w:hAnsi="Times New Roman" w:cs="Times New Roman"/>
          <w:b/>
          <w:sz w:val="24"/>
          <w:szCs w:val="24"/>
        </w:rPr>
      </w:pPr>
    </w:p>
    <w:p w14:paraId="137C8902" w14:textId="77777777" w:rsidR="00055682"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4.9. Передозировка</w:t>
      </w:r>
    </w:p>
    <w:p w14:paraId="2BA0DB02"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b/>
          <w:i/>
          <w:sz w:val="24"/>
          <w:szCs w:val="24"/>
          <w:lang w:eastAsia="hu-HU"/>
        </w:rPr>
      </w:pPr>
      <w:r w:rsidRPr="006C4A45">
        <w:rPr>
          <w:rFonts w:ascii="Times New Roman" w:eastAsia="Times New Roman" w:hAnsi="Times New Roman" w:cs="Times New Roman"/>
          <w:i/>
          <w:sz w:val="24"/>
          <w:szCs w:val="24"/>
          <w:lang w:eastAsia="hu-HU"/>
        </w:rPr>
        <w:t>Симптомы:</w:t>
      </w:r>
      <w:r w:rsidRPr="006C4A45">
        <w:rPr>
          <w:rFonts w:ascii="Times New Roman" w:eastAsia="Times New Roman" w:hAnsi="Times New Roman" w:cs="Times New Roman"/>
          <w:sz w:val="24"/>
          <w:szCs w:val="24"/>
          <w:lang w:eastAsia="hu-HU"/>
        </w:rPr>
        <w:t xml:space="preserve"> случайная передозировка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после внутривенного, экстракорпорального или подкожного введения может привести к кровотечениям. При приеме внутрь даже больших доз всасывание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маловероятно.</w:t>
      </w:r>
    </w:p>
    <w:p w14:paraId="54FEA7ED"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i/>
          <w:sz w:val="24"/>
          <w:szCs w:val="24"/>
          <w:lang w:eastAsia="hu-HU"/>
        </w:rPr>
        <w:t xml:space="preserve">Лечение: </w:t>
      </w:r>
      <w:r w:rsidRPr="006C4A45">
        <w:rPr>
          <w:rFonts w:ascii="Times New Roman" w:eastAsia="Times New Roman" w:hAnsi="Times New Roman" w:cs="Times New Roman"/>
          <w:sz w:val="24"/>
          <w:szCs w:val="24"/>
          <w:lang w:eastAsia="hu-HU"/>
        </w:rPr>
        <w:t xml:space="preserve">антикоагулянтный эффект можно существенно нейтрализовать посредством медленного внутривенного введения протамина сульфат. </w:t>
      </w:r>
    </w:p>
    <w:p w14:paraId="487D24E2"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Требуемая доза протамина сульфата зависит от введенной дозы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w:t>
      </w:r>
    </w:p>
    <w:p w14:paraId="03FCE0A0"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- 1 мг протамин сульфат нейтрализует антикоагулянтный эффект 100 МЕ (1 мг)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при условии, что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был введен в течение предыдущих 8 часов </w:t>
      </w:r>
    </w:p>
    <w:p w14:paraId="17420A88"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инфузия 0.5 мг протамина на 100 МЕ (1 мг)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может быть введена, если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был введен более 8 часов назад до введения протамина или если было установлено, что требуется вторая доза протамина</w:t>
      </w:r>
    </w:p>
    <w:p w14:paraId="5B9AC3EB" w14:textId="77777777" w:rsidR="00051BAC" w:rsidRPr="006C4A45" w:rsidRDefault="00051BAC"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 через 12 часов после инъекции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введение протамина может не потребоваться.</w:t>
      </w:r>
    </w:p>
    <w:p w14:paraId="5B5AF745" w14:textId="77777777" w:rsidR="00051BAC" w:rsidRPr="006C4A45" w:rsidRDefault="00051BAC" w:rsidP="00051BAC">
      <w:pPr>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Однако, даже при высоких дозах протамина,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активность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никогда не нейтрализуется полностью (максимум около 60%).</w:t>
      </w:r>
    </w:p>
    <w:p w14:paraId="4BCCF74B" w14:textId="77777777" w:rsidR="00B56A91" w:rsidRPr="006C4A45" w:rsidRDefault="00B56A91" w:rsidP="00A75F5E">
      <w:pPr>
        <w:spacing w:after="0" w:line="240" w:lineRule="auto"/>
        <w:jc w:val="both"/>
        <w:rPr>
          <w:rFonts w:ascii="Times New Roman" w:hAnsi="Times New Roman" w:cs="Times New Roman"/>
          <w:sz w:val="24"/>
          <w:szCs w:val="24"/>
        </w:rPr>
      </w:pPr>
    </w:p>
    <w:p w14:paraId="1137E14C"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 ФАРМАКОЛОГИЧЕСКИЕ СВОЙСТВА</w:t>
      </w:r>
    </w:p>
    <w:p w14:paraId="27CAED6A"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5.1. Фармакодинамические свойства</w:t>
      </w:r>
    </w:p>
    <w:p w14:paraId="2F02B5F4" w14:textId="77777777" w:rsidR="005D7901" w:rsidRPr="006C4A45" w:rsidRDefault="00A72229" w:rsidP="005D790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Фармакотерапевтическая группа: </w:t>
      </w:r>
      <w:r w:rsidR="005D7901" w:rsidRPr="006C4A45">
        <w:rPr>
          <w:rFonts w:ascii="Times New Roman" w:hAnsi="Times New Roman" w:cs="Times New Roman"/>
          <w:sz w:val="24"/>
          <w:szCs w:val="24"/>
        </w:rPr>
        <w:t xml:space="preserve">Кровь и органы кроветворения. </w:t>
      </w:r>
      <w:proofErr w:type="spellStart"/>
      <w:r w:rsidR="005D7901" w:rsidRPr="006C4A45">
        <w:rPr>
          <w:rFonts w:ascii="Times New Roman" w:hAnsi="Times New Roman" w:cs="Times New Roman"/>
          <w:sz w:val="24"/>
          <w:szCs w:val="24"/>
        </w:rPr>
        <w:t>Антитромботические</w:t>
      </w:r>
      <w:proofErr w:type="spellEnd"/>
      <w:r w:rsidR="005D7901" w:rsidRPr="006C4A45">
        <w:rPr>
          <w:rFonts w:ascii="Times New Roman" w:hAnsi="Times New Roman" w:cs="Times New Roman"/>
          <w:sz w:val="24"/>
          <w:szCs w:val="24"/>
        </w:rPr>
        <w:t xml:space="preserve"> препараты. Гепарина группа. </w:t>
      </w:r>
      <w:proofErr w:type="spellStart"/>
      <w:r w:rsidR="005D7901" w:rsidRPr="006C4A45">
        <w:rPr>
          <w:rFonts w:ascii="Times New Roman" w:hAnsi="Times New Roman" w:cs="Times New Roman"/>
          <w:sz w:val="24"/>
          <w:szCs w:val="24"/>
        </w:rPr>
        <w:t>Эноксапарин</w:t>
      </w:r>
      <w:proofErr w:type="spellEnd"/>
      <w:r w:rsidR="005D7901" w:rsidRPr="006C4A45">
        <w:rPr>
          <w:rFonts w:ascii="Times New Roman" w:hAnsi="Times New Roman" w:cs="Times New Roman"/>
          <w:sz w:val="24"/>
          <w:szCs w:val="24"/>
        </w:rPr>
        <w:t xml:space="preserve">. </w:t>
      </w:r>
    </w:p>
    <w:p w14:paraId="160B1F32" w14:textId="77777777" w:rsidR="005D7901" w:rsidRPr="006C4A45" w:rsidRDefault="005D7901" w:rsidP="005D7901">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Код АТХ B01AB05</w:t>
      </w:r>
    </w:p>
    <w:p w14:paraId="43B87491" w14:textId="77777777" w:rsidR="005D15DC" w:rsidRPr="006C4A45" w:rsidRDefault="005D15DC" w:rsidP="005D7901">
      <w:pPr>
        <w:spacing w:after="0" w:line="240" w:lineRule="auto"/>
        <w:jc w:val="both"/>
        <w:rPr>
          <w:rFonts w:ascii="Times New Roman" w:eastAsia="Calibri" w:hAnsi="Times New Roman" w:cs="Times New Roman"/>
          <w:i/>
          <w:sz w:val="24"/>
          <w:szCs w:val="24"/>
          <w:lang w:bidi="ar-IQ"/>
        </w:rPr>
      </w:pPr>
      <w:r w:rsidRPr="006C4A45">
        <w:rPr>
          <w:rFonts w:ascii="Times New Roman" w:eastAsia="Calibri" w:hAnsi="Times New Roman" w:cs="Times New Roman"/>
          <w:i/>
          <w:iCs/>
          <w:sz w:val="24"/>
          <w:szCs w:val="24"/>
          <w:lang w:bidi="ar-IQ"/>
        </w:rPr>
        <w:t>Механизм действия</w:t>
      </w:r>
    </w:p>
    <w:p w14:paraId="6FBBA5FF" w14:textId="17A0F102" w:rsidR="006370A4" w:rsidRPr="006C4A45" w:rsidRDefault="005D7901" w:rsidP="005D7901">
      <w:pPr>
        <w:tabs>
          <w:tab w:val="left" w:pos="567"/>
        </w:tabs>
        <w:spacing w:after="0" w:line="240" w:lineRule="auto"/>
        <w:jc w:val="both"/>
        <w:rPr>
          <w:rFonts w:ascii="Times New Roman" w:eastAsia="Times New Roman" w:hAnsi="Times New Roman" w:cs="Times New Roman"/>
          <w:sz w:val="24"/>
          <w:szCs w:val="24"/>
          <w:lang w:eastAsia="hu-HU"/>
        </w:rPr>
      </w:pPr>
      <w:proofErr w:type="spellStart"/>
      <w:r w:rsidRPr="006C4A45">
        <w:rPr>
          <w:rFonts w:ascii="Times New Roman" w:eastAsia="Times New Roman" w:hAnsi="Times New Roman" w:cs="Times New Roman"/>
          <w:sz w:val="24"/>
          <w:szCs w:val="24"/>
          <w:lang w:eastAsia="hu-HU"/>
        </w:rPr>
        <w:t>Катенокс</w:t>
      </w:r>
      <w:proofErr w:type="spellEnd"/>
      <w:r w:rsidRPr="006C4A45">
        <w:rPr>
          <w:rFonts w:ascii="Times New Roman" w:eastAsia="Times New Roman" w:hAnsi="Times New Roman" w:cs="Times New Roman"/>
          <w:sz w:val="24"/>
          <w:szCs w:val="24"/>
          <w:lang w:eastAsia="hu-HU"/>
        </w:rPr>
        <w:t xml:space="preserve"> является </w:t>
      </w:r>
      <w:proofErr w:type="spellStart"/>
      <w:r w:rsidRPr="006C4A45">
        <w:rPr>
          <w:rFonts w:ascii="Times New Roman" w:eastAsia="Times New Roman" w:hAnsi="Times New Roman" w:cs="Times New Roman"/>
          <w:sz w:val="24"/>
          <w:szCs w:val="24"/>
          <w:lang w:eastAsia="hu-HU"/>
        </w:rPr>
        <w:t>биосимиляром</w:t>
      </w:r>
      <w:proofErr w:type="spellEnd"/>
      <w:r w:rsidRPr="006C4A45">
        <w:rPr>
          <w:rFonts w:ascii="Times New Roman" w:eastAsia="Times New Roman" w:hAnsi="Times New Roman" w:cs="Times New Roman"/>
          <w:sz w:val="24"/>
          <w:szCs w:val="24"/>
          <w:lang w:eastAsia="hu-HU"/>
        </w:rPr>
        <w:t xml:space="preserve">. </w:t>
      </w:r>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w:t>
      </w:r>
      <w:proofErr w:type="gramStart"/>
      <w:r w:rsidRPr="006C4A45">
        <w:rPr>
          <w:rFonts w:ascii="Times New Roman" w:eastAsia="Times New Roman" w:hAnsi="Times New Roman" w:cs="Times New Roman"/>
          <w:color w:val="000000"/>
          <w:sz w:val="24"/>
          <w:szCs w:val="24"/>
          <w:lang w:eastAsia="ru-RU"/>
        </w:rPr>
        <w:t>- это</w:t>
      </w:r>
      <w:proofErr w:type="gramEnd"/>
      <w:r w:rsidRPr="006C4A45">
        <w:rPr>
          <w:rFonts w:ascii="Times New Roman" w:eastAsia="Times New Roman" w:hAnsi="Times New Roman" w:cs="Times New Roman"/>
          <w:color w:val="000000"/>
          <w:sz w:val="24"/>
          <w:szCs w:val="24"/>
          <w:lang w:eastAsia="ru-RU"/>
        </w:rPr>
        <w:t xml:space="preserve"> низкомолекулярный гепарин </w:t>
      </w:r>
      <w:r w:rsidRPr="006C4A45">
        <w:rPr>
          <w:rFonts w:ascii="Times New Roman" w:eastAsia="Times New Roman" w:hAnsi="Times New Roman" w:cs="Times New Roman"/>
          <w:sz w:val="24"/>
          <w:szCs w:val="24"/>
          <w:lang w:eastAsia="hu-HU"/>
        </w:rPr>
        <w:t>со средней молекулярной массой</w:t>
      </w:r>
      <w:r w:rsidRPr="006C4A45">
        <w:rPr>
          <w:rFonts w:ascii="Times New Roman" w:eastAsia="Times New Roman" w:hAnsi="Times New Roman" w:cs="Times New Roman"/>
          <w:color w:val="333333"/>
          <w:sz w:val="24"/>
          <w:szCs w:val="24"/>
          <w:shd w:val="clear" w:color="auto" w:fill="FFFFFF"/>
          <w:lang w:eastAsia="hu-HU"/>
        </w:rPr>
        <w:t xml:space="preserve"> </w:t>
      </w:r>
      <w:r w:rsidRPr="006C4A45">
        <w:rPr>
          <w:rFonts w:ascii="Times New Roman" w:eastAsia="Times New Roman" w:hAnsi="Times New Roman" w:cs="Times New Roman"/>
          <w:sz w:val="24"/>
          <w:szCs w:val="24"/>
          <w:lang w:eastAsia="hu-HU"/>
        </w:rPr>
        <w:t>около 4500 дальтон</w:t>
      </w:r>
      <w:r w:rsidRPr="006C4A45">
        <w:rPr>
          <w:rFonts w:ascii="Times New Roman" w:eastAsia="Times New Roman" w:hAnsi="Times New Roman" w:cs="Times New Roman"/>
          <w:color w:val="000000"/>
          <w:sz w:val="24"/>
          <w:szCs w:val="24"/>
          <w:lang w:eastAsia="ru-RU"/>
        </w:rPr>
        <w:t xml:space="preserve">, у которого </w:t>
      </w:r>
      <w:proofErr w:type="spellStart"/>
      <w:r w:rsidRPr="006C4A45">
        <w:rPr>
          <w:rFonts w:ascii="Times New Roman" w:eastAsia="Times New Roman" w:hAnsi="Times New Roman" w:cs="Times New Roman"/>
          <w:color w:val="000000"/>
          <w:sz w:val="24"/>
          <w:szCs w:val="24"/>
          <w:lang w:eastAsia="ru-RU"/>
        </w:rPr>
        <w:t>антитромботическое</w:t>
      </w:r>
      <w:proofErr w:type="spellEnd"/>
      <w:r w:rsidRPr="006C4A45">
        <w:rPr>
          <w:rFonts w:ascii="Times New Roman" w:eastAsia="Times New Roman" w:hAnsi="Times New Roman" w:cs="Times New Roman"/>
          <w:color w:val="000000"/>
          <w:sz w:val="24"/>
          <w:szCs w:val="24"/>
          <w:lang w:eastAsia="ru-RU"/>
        </w:rPr>
        <w:t xml:space="preserve"> и антикоагулянтное действия стандартного гепарина не связаны между собой. </w:t>
      </w:r>
      <w:r w:rsidRPr="006C4A45">
        <w:rPr>
          <w:rFonts w:ascii="Times New Roman" w:eastAsia="Times New Roman" w:hAnsi="Times New Roman" w:cs="Times New Roman"/>
          <w:sz w:val="24"/>
          <w:szCs w:val="24"/>
          <w:lang w:eastAsia="hu-HU"/>
        </w:rPr>
        <w:t>Лекарственная субстанция – соль натрия.</w:t>
      </w:r>
      <w:r w:rsidRPr="006C4A45">
        <w:rPr>
          <w:rFonts w:ascii="Arial" w:eastAsia="Times New Roman" w:hAnsi="Arial" w:cs="Arial"/>
          <w:sz w:val="24"/>
          <w:szCs w:val="24"/>
          <w:lang w:eastAsia="hu-HU"/>
        </w:rPr>
        <w:t xml:space="preserve"> </w:t>
      </w:r>
      <w:r w:rsidR="008A073E" w:rsidRPr="006C4A45">
        <w:rPr>
          <w:rFonts w:ascii="Times New Roman" w:eastAsia="Times New Roman" w:hAnsi="Times New Roman" w:cs="Times New Roman"/>
          <w:sz w:val="24"/>
          <w:szCs w:val="24"/>
          <w:lang w:eastAsia="hu-HU"/>
        </w:rPr>
        <w:t xml:space="preserve">В очищенной </w:t>
      </w:r>
      <w:proofErr w:type="spellStart"/>
      <w:r w:rsidR="008A073E" w:rsidRPr="006C4A45">
        <w:rPr>
          <w:rFonts w:ascii="Times New Roman" w:eastAsia="Times New Roman" w:hAnsi="Times New Roman" w:cs="Times New Roman"/>
          <w:i/>
          <w:iCs/>
          <w:sz w:val="24"/>
          <w:szCs w:val="24"/>
          <w:lang w:eastAsia="hu-HU"/>
        </w:rPr>
        <w:t>in</w:t>
      </w:r>
      <w:proofErr w:type="spellEnd"/>
      <w:r w:rsidR="008A073E" w:rsidRPr="006C4A45">
        <w:rPr>
          <w:rFonts w:ascii="Times New Roman" w:eastAsia="Times New Roman" w:hAnsi="Times New Roman" w:cs="Times New Roman"/>
          <w:i/>
          <w:iCs/>
          <w:sz w:val="24"/>
          <w:szCs w:val="24"/>
          <w:lang w:eastAsia="hu-HU"/>
        </w:rPr>
        <w:t xml:space="preserve"> </w:t>
      </w:r>
      <w:proofErr w:type="spellStart"/>
      <w:r w:rsidR="008A073E" w:rsidRPr="006C4A45">
        <w:rPr>
          <w:rFonts w:ascii="Times New Roman" w:eastAsia="Times New Roman" w:hAnsi="Times New Roman" w:cs="Times New Roman"/>
          <w:i/>
          <w:iCs/>
          <w:sz w:val="24"/>
          <w:szCs w:val="24"/>
          <w:lang w:eastAsia="hu-HU"/>
        </w:rPr>
        <w:t>vitro</w:t>
      </w:r>
      <w:proofErr w:type="spellEnd"/>
      <w:r w:rsidR="008A073E" w:rsidRPr="006C4A45">
        <w:rPr>
          <w:rFonts w:ascii="Times New Roman" w:eastAsia="Times New Roman" w:hAnsi="Times New Roman" w:cs="Times New Roman"/>
          <w:sz w:val="24"/>
          <w:szCs w:val="24"/>
          <w:lang w:eastAsia="hu-HU"/>
        </w:rPr>
        <w:t xml:space="preserve"> системе </w:t>
      </w:r>
      <w:proofErr w:type="spellStart"/>
      <w:r w:rsidR="008A073E" w:rsidRPr="006C4A45">
        <w:rPr>
          <w:rFonts w:ascii="Times New Roman" w:eastAsia="Times New Roman" w:hAnsi="Times New Roman" w:cs="Times New Roman"/>
          <w:sz w:val="24"/>
          <w:szCs w:val="24"/>
          <w:lang w:eastAsia="hu-HU"/>
        </w:rPr>
        <w:t>эноксапарин</w:t>
      </w:r>
      <w:proofErr w:type="spellEnd"/>
      <w:r w:rsidR="008A073E" w:rsidRPr="006C4A45">
        <w:rPr>
          <w:rFonts w:ascii="Times New Roman" w:eastAsia="Times New Roman" w:hAnsi="Times New Roman" w:cs="Times New Roman"/>
          <w:sz w:val="24"/>
          <w:szCs w:val="24"/>
          <w:lang w:eastAsia="hu-HU"/>
        </w:rPr>
        <w:t xml:space="preserve"> натрия имеет высокую анти-</w:t>
      </w:r>
      <w:proofErr w:type="spellStart"/>
      <w:r w:rsidR="008A073E" w:rsidRPr="006C4A45">
        <w:rPr>
          <w:rFonts w:ascii="Times New Roman" w:eastAsia="Times New Roman" w:hAnsi="Times New Roman" w:cs="Times New Roman"/>
          <w:sz w:val="24"/>
          <w:szCs w:val="24"/>
          <w:lang w:eastAsia="hu-HU"/>
        </w:rPr>
        <w:t>Xa</w:t>
      </w:r>
      <w:proofErr w:type="spellEnd"/>
      <w:r w:rsidR="008A073E" w:rsidRPr="006C4A45">
        <w:rPr>
          <w:rFonts w:ascii="Times New Roman" w:eastAsia="Times New Roman" w:hAnsi="Times New Roman" w:cs="Times New Roman"/>
          <w:sz w:val="24"/>
          <w:szCs w:val="24"/>
          <w:lang w:eastAsia="hu-HU"/>
        </w:rPr>
        <w:t xml:space="preserve"> активность (приблизительно 100 МЕ/мг) и низкую анти-</w:t>
      </w:r>
      <w:proofErr w:type="spellStart"/>
      <w:r w:rsidR="008A073E" w:rsidRPr="006C4A45">
        <w:rPr>
          <w:rFonts w:ascii="Times New Roman" w:eastAsia="Times New Roman" w:hAnsi="Times New Roman" w:cs="Times New Roman"/>
          <w:sz w:val="24"/>
          <w:szCs w:val="24"/>
          <w:lang w:eastAsia="hu-HU"/>
        </w:rPr>
        <w:t>IIa</w:t>
      </w:r>
      <w:proofErr w:type="spellEnd"/>
      <w:r w:rsidR="008A073E" w:rsidRPr="006C4A45">
        <w:rPr>
          <w:rFonts w:ascii="Times New Roman" w:eastAsia="Times New Roman" w:hAnsi="Times New Roman" w:cs="Times New Roman"/>
          <w:sz w:val="24"/>
          <w:szCs w:val="24"/>
          <w:lang w:eastAsia="hu-HU"/>
        </w:rPr>
        <w:t xml:space="preserve"> или </w:t>
      </w:r>
      <w:proofErr w:type="spellStart"/>
      <w:r w:rsidR="008A073E" w:rsidRPr="006C4A45">
        <w:rPr>
          <w:rFonts w:ascii="Times New Roman" w:eastAsia="Times New Roman" w:hAnsi="Times New Roman" w:cs="Times New Roman"/>
          <w:sz w:val="24"/>
          <w:szCs w:val="24"/>
          <w:lang w:eastAsia="hu-HU"/>
        </w:rPr>
        <w:t>антитромбиновую</w:t>
      </w:r>
      <w:proofErr w:type="spellEnd"/>
      <w:r w:rsidR="008A073E" w:rsidRPr="006C4A45">
        <w:rPr>
          <w:rFonts w:ascii="Times New Roman" w:eastAsia="Times New Roman" w:hAnsi="Times New Roman" w:cs="Times New Roman"/>
          <w:sz w:val="24"/>
          <w:szCs w:val="24"/>
          <w:lang w:eastAsia="hu-HU"/>
        </w:rPr>
        <w:t xml:space="preserve"> активность (приблизительно 28 МЕ/мг) с соотношением 3,6. Эти антикоагулянтные активности опосредованы антитромбином III (ATIII), что приводит к </w:t>
      </w:r>
      <w:proofErr w:type="spellStart"/>
      <w:r w:rsidR="008A073E" w:rsidRPr="006C4A45">
        <w:rPr>
          <w:rFonts w:ascii="Times New Roman" w:eastAsia="Times New Roman" w:hAnsi="Times New Roman" w:cs="Times New Roman"/>
          <w:sz w:val="24"/>
          <w:szCs w:val="24"/>
          <w:lang w:eastAsia="hu-HU"/>
        </w:rPr>
        <w:t>антитромботической</w:t>
      </w:r>
      <w:proofErr w:type="spellEnd"/>
      <w:r w:rsidR="008A073E" w:rsidRPr="006C4A45">
        <w:rPr>
          <w:rFonts w:ascii="Times New Roman" w:eastAsia="Times New Roman" w:hAnsi="Times New Roman" w:cs="Times New Roman"/>
          <w:sz w:val="24"/>
          <w:szCs w:val="24"/>
          <w:lang w:eastAsia="hu-HU"/>
        </w:rPr>
        <w:t xml:space="preserve"> активности у людей. </w:t>
      </w:r>
    </w:p>
    <w:p w14:paraId="144AA5C8" w14:textId="322BDFD1"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lastRenderedPageBreak/>
        <w:t>Помимо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w:t>
      </w:r>
      <w:proofErr w:type="spellStart"/>
      <w:r w:rsidRPr="006C4A45">
        <w:rPr>
          <w:rFonts w:ascii="Times New Roman" w:eastAsia="Times New Roman" w:hAnsi="Times New Roman" w:cs="Times New Roman"/>
          <w:sz w:val="24"/>
          <w:szCs w:val="24"/>
          <w:lang w:eastAsia="hu-HU"/>
        </w:rPr>
        <w:t>IIa</w:t>
      </w:r>
      <w:proofErr w:type="spellEnd"/>
      <w:r w:rsidRPr="006C4A45">
        <w:rPr>
          <w:rFonts w:ascii="Times New Roman" w:eastAsia="Times New Roman" w:hAnsi="Times New Roman" w:cs="Times New Roman"/>
          <w:sz w:val="24"/>
          <w:szCs w:val="24"/>
          <w:lang w:eastAsia="hu-HU"/>
        </w:rPr>
        <w:t xml:space="preserve"> активности, у здоровых людей и пациентов, а также в неклинических моделях были выявлены дополнительные </w:t>
      </w:r>
      <w:proofErr w:type="spellStart"/>
      <w:r w:rsidRPr="006C4A45">
        <w:rPr>
          <w:rFonts w:ascii="Times New Roman" w:eastAsia="Times New Roman" w:hAnsi="Times New Roman" w:cs="Times New Roman"/>
          <w:sz w:val="24"/>
          <w:szCs w:val="24"/>
          <w:lang w:eastAsia="hu-HU"/>
        </w:rPr>
        <w:t>антитромботические</w:t>
      </w:r>
      <w:proofErr w:type="spellEnd"/>
      <w:r w:rsidRPr="006C4A45">
        <w:rPr>
          <w:rFonts w:ascii="Times New Roman" w:eastAsia="Times New Roman" w:hAnsi="Times New Roman" w:cs="Times New Roman"/>
          <w:sz w:val="24"/>
          <w:szCs w:val="24"/>
          <w:lang w:eastAsia="hu-HU"/>
        </w:rPr>
        <w:t xml:space="preserve"> и противовоспалительные свойства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w:t>
      </w:r>
    </w:p>
    <w:p w14:paraId="73AC638A"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67AC67D1"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123BB524" w14:textId="77777777" w:rsidR="006370A4" w:rsidRPr="006C4A45" w:rsidRDefault="006370A4" w:rsidP="005D7901">
      <w:pPr>
        <w:tabs>
          <w:tab w:val="left" w:pos="567"/>
        </w:tabs>
        <w:spacing w:after="0" w:line="240" w:lineRule="auto"/>
        <w:jc w:val="both"/>
        <w:rPr>
          <w:rFonts w:ascii="Times New Roman" w:eastAsia="Times New Roman" w:hAnsi="Times New Roman" w:cs="Times New Roman"/>
          <w:sz w:val="24"/>
          <w:szCs w:val="24"/>
          <w:lang w:eastAsia="hu-HU"/>
        </w:rPr>
      </w:pPr>
    </w:p>
    <w:p w14:paraId="7BDACBBF" w14:textId="58362300" w:rsidR="005D7901" w:rsidRPr="006C4A45" w:rsidRDefault="005D7901" w:rsidP="005D7901">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Это включает АТ-III-зависимое ингибирование других факторов свертывания как фактор </w:t>
      </w:r>
      <w:proofErr w:type="spellStart"/>
      <w:r w:rsidRPr="006C4A45">
        <w:rPr>
          <w:rFonts w:ascii="Times New Roman" w:eastAsia="Times New Roman" w:hAnsi="Times New Roman" w:cs="Times New Roman"/>
          <w:sz w:val="24"/>
          <w:szCs w:val="24"/>
          <w:lang w:eastAsia="hu-HU"/>
        </w:rPr>
        <w:t>VIIа</w:t>
      </w:r>
      <w:proofErr w:type="spellEnd"/>
      <w:r w:rsidRPr="006C4A45">
        <w:rPr>
          <w:rFonts w:ascii="Times New Roman" w:eastAsia="Times New Roman" w:hAnsi="Times New Roman" w:cs="Times New Roman"/>
          <w:sz w:val="24"/>
          <w:szCs w:val="24"/>
          <w:lang w:eastAsia="hu-HU"/>
        </w:rPr>
        <w:t xml:space="preserve">, активацию высвобождения эндогенного ингибитора пути тканевого фактора (ИПТФ), а также снижение высвобождения фактора </w:t>
      </w:r>
      <w:proofErr w:type="spellStart"/>
      <w:r w:rsidRPr="006C4A45">
        <w:rPr>
          <w:rFonts w:ascii="Times New Roman" w:eastAsia="Times New Roman" w:hAnsi="Times New Roman" w:cs="Times New Roman"/>
          <w:sz w:val="24"/>
          <w:szCs w:val="24"/>
          <w:lang w:eastAsia="hu-HU"/>
        </w:rPr>
        <w:t>Виллебранда</w:t>
      </w:r>
      <w:proofErr w:type="spellEnd"/>
      <w:r w:rsidRPr="006C4A45">
        <w:rPr>
          <w:rFonts w:ascii="Times New Roman" w:eastAsia="Times New Roman" w:hAnsi="Times New Roman" w:cs="Times New Roman"/>
          <w:sz w:val="24"/>
          <w:szCs w:val="24"/>
          <w:lang w:eastAsia="hu-HU"/>
        </w:rPr>
        <w:t xml:space="preserve"> из эндотелия сосудов в кровоток. Эти факторы обеспечивают антикоагулянтный эффект </w:t>
      </w:r>
      <w:proofErr w:type="spellStart"/>
      <w:r w:rsidRPr="006C4A45">
        <w:rPr>
          <w:rFonts w:ascii="Times New Roman" w:eastAsia="Times New Roman" w:hAnsi="Times New Roman" w:cs="Times New Roman"/>
          <w:sz w:val="24"/>
          <w:szCs w:val="24"/>
          <w:lang w:eastAsia="hu-HU"/>
        </w:rPr>
        <w:t>эноксапарину</w:t>
      </w:r>
      <w:proofErr w:type="spellEnd"/>
      <w:r w:rsidRPr="006C4A45">
        <w:rPr>
          <w:rFonts w:ascii="Times New Roman" w:eastAsia="Times New Roman" w:hAnsi="Times New Roman" w:cs="Times New Roman"/>
          <w:sz w:val="24"/>
          <w:szCs w:val="24"/>
          <w:lang w:eastAsia="hu-HU"/>
        </w:rPr>
        <w:t xml:space="preserve"> натрия в целом.</w:t>
      </w:r>
    </w:p>
    <w:p w14:paraId="13C7529B" w14:textId="1989DDD6" w:rsidR="005D7901" w:rsidRPr="006C4A45" w:rsidRDefault="005D790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профилактических дозах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не оказывает существенного воздействия на активированное частичное </w:t>
      </w:r>
      <w:proofErr w:type="spellStart"/>
      <w:r w:rsidRPr="006C4A45">
        <w:rPr>
          <w:rFonts w:ascii="Times New Roman" w:eastAsia="Times New Roman" w:hAnsi="Times New Roman" w:cs="Times New Roman"/>
          <w:color w:val="000000"/>
          <w:sz w:val="24"/>
          <w:szCs w:val="24"/>
          <w:lang w:eastAsia="ru-RU"/>
        </w:rPr>
        <w:t>тромбопластиновое</w:t>
      </w:r>
      <w:proofErr w:type="spellEnd"/>
      <w:r w:rsidRPr="006C4A45">
        <w:rPr>
          <w:rFonts w:ascii="Times New Roman" w:eastAsia="Times New Roman" w:hAnsi="Times New Roman" w:cs="Times New Roman"/>
          <w:color w:val="000000"/>
          <w:sz w:val="24"/>
          <w:szCs w:val="24"/>
          <w:lang w:eastAsia="ru-RU"/>
        </w:rPr>
        <w:t xml:space="preserve"> время (АЧТВ). В лечебных дозах АЧТВ может быть увеличено в 1,5-2,2 раза от контрольного времени на пике активности. </w:t>
      </w:r>
    </w:p>
    <w:p w14:paraId="18913EB6" w14:textId="32CA09B7"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6C4A45">
        <w:rPr>
          <w:rFonts w:ascii="Times New Roman" w:eastAsia="Times New Roman" w:hAnsi="Times New Roman" w:cs="Times New Roman"/>
          <w:i/>
          <w:iCs/>
          <w:color w:val="000000"/>
          <w:sz w:val="24"/>
          <w:szCs w:val="24"/>
          <w:u w:val="single"/>
          <w:lang w:eastAsia="ru-RU"/>
        </w:rPr>
        <w:t>Клиническая эффективность и безопасность</w:t>
      </w:r>
    </w:p>
    <w:p w14:paraId="591016D5" w14:textId="171F9CAB"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6C4A45">
        <w:rPr>
          <w:rFonts w:ascii="Times New Roman" w:eastAsia="Times New Roman" w:hAnsi="Times New Roman" w:cs="Times New Roman"/>
          <w:i/>
          <w:iCs/>
          <w:color w:val="000000"/>
          <w:sz w:val="24"/>
          <w:szCs w:val="24"/>
          <w:u w:val="single"/>
          <w:lang w:eastAsia="ru-RU"/>
        </w:rPr>
        <w:t>Профилактика венозной тромбоэмболии, связанной с хирургическим вмешательством</w:t>
      </w:r>
    </w:p>
    <w:p w14:paraId="5B58A044" w14:textId="7935141D" w:rsidR="00361B07" w:rsidRPr="006C4A45" w:rsidRDefault="00361B07"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Расширенная профилактика ВТЭ после ортопедической операции</w:t>
      </w:r>
    </w:p>
    <w:p w14:paraId="5FA14059" w14:textId="395590DD"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двойном слепом исследовании расширенной профилактики для пациентов, перенесших операцию по замене тазобедренного сустава, 179 пациентов без венозной тромбоэмболии, изначально лечившихся во время госпитализации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были рандомизированы в группу с режимом после выписки либо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4000 МЕ (40 мг) (n=90) один раз в день подкожно, либо плацебо (n=89) в течение 3 недель. Частота тромбоза глубоких вен во время расширенной профилактики была значительно ниже 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по сравнению с плацебо, не было зарегистрировано ни одной ТЭЛА. Не было отмечено ни одного серьезного кровотечения.</w:t>
      </w:r>
    </w:p>
    <w:p w14:paraId="696931D9" w14:textId="482E7544" w:rsidR="00361B07" w:rsidRPr="006C4A45" w:rsidRDefault="00361B07"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Данные по эффективности приведены в таблице ниже.</w:t>
      </w:r>
    </w:p>
    <w:tbl>
      <w:tblPr>
        <w:tblStyle w:val="aa"/>
        <w:tblW w:w="0" w:type="auto"/>
        <w:tblLook w:val="04A0" w:firstRow="1" w:lastRow="0" w:firstColumn="1" w:lastColumn="0" w:noHBand="0" w:noVBand="1"/>
      </w:tblPr>
      <w:tblGrid>
        <w:gridCol w:w="3095"/>
        <w:gridCol w:w="3096"/>
        <w:gridCol w:w="3096"/>
      </w:tblGrid>
      <w:tr w:rsidR="00361B07" w:rsidRPr="006C4A45" w14:paraId="252CB38F" w14:textId="77777777" w:rsidTr="00361B07">
        <w:tc>
          <w:tcPr>
            <w:tcW w:w="3095" w:type="dxa"/>
          </w:tcPr>
          <w:p w14:paraId="4DCA9BB8" w14:textId="77777777"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3096" w:type="dxa"/>
          </w:tcPr>
          <w:p w14:paraId="42849F97" w14:textId="798DEEFF"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0015028E" w14:textId="551693D0"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4000 МЕ (40 мг)</w:t>
            </w:r>
          </w:p>
          <w:p w14:paraId="12B8F774" w14:textId="5E31710C"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70C4B96F" w14:textId="5CF9E332"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3096" w:type="dxa"/>
          </w:tcPr>
          <w:p w14:paraId="65661476" w14:textId="7777777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Плацебо</w:t>
            </w:r>
          </w:p>
          <w:p w14:paraId="182BE4E9" w14:textId="7777777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460ABE20" w14:textId="66F983A7" w:rsidR="00361B07" w:rsidRPr="006C4A45" w:rsidRDefault="00361B07"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r>
      <w:tr w:rsidR="00361B07" w:rsidRPr="006C4A45" w14:paraId="110407B4" w14:textId="77777777" w:rsidTr="00361B07">
        <w:tc>
          <w:tcPr>
            <w:tcW w:w="3095" w:type="dxa"/>
          </w:tcPr>
          <w:p w14:paraId="3EF137EF" w14:textId="23EA3231" w:rsidR="00361B07" w:rsidRPr="006C4A45" w:rsidRDefault="00361B07"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 пациенты, прошедшие курс расширенной профилактики</w:t>
            </w:r>
          </w:p>
        </w:tc>
        <w:tc>
          <w:tcPr>
            <w:tcW w:w="3096" w:type="dxa"/>
          </w:tcPr>
          <w:p w14:paraId="46FBB480" w14:textId="0D60C4B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90 (100)</w:t>
            </w:r>
          </w:p>
        </w:tc>
        <w:tc>
          <w:tcPr>
            <w:tcW w:w="3096" w:type="dxa"/>
          </w:tcPr>
          <w:p w14:paraId="414862D3" w14:textId="1A3A407C"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89 (100)</w:t>
            </w:r>
          </w:p>
        </w:tc>
      </w:tr>
      <w:tr w:rsidR="00361B07" w:rsidRPr="006C4A45" w14:paraId="4C5EF46E" w14:textId="77777777" w:rsidTr="00361B07">
        <w:tc>
          <w:tcPr>
            <w:tcW w:w="3095" w:type="dxa"/>
          </w:tcPr>
          <w:p w14:paraId="62A85011" w14:textId="45687F17" w:rsidR="00361B07" w:rsidRPr="006C4A45" w:rsidRDefault="00361B07"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Всего ВТЭ</w:t>
            </w:r>
          </w:p>
        </w:tc>
        <w:tc>
          <w:tcPr>
            <w:tcW w:w="3096" w:type="dxa"/>
          </w:tcPr>
          <w:p w14:paraId="6E14878C" w14:textId="196F71C8"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6 (6.6)</w:t>
            </w:r>
          </w:p>
        </w:tc>
        <w:tc>
          <w:tcPr>
            <w:tcW w:w="3096" w:type="dxa"/>
          </w:tcPr>
          <w:p w14:paraId="24A0EADD" w14:textId="65E929AA"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18 (20.2)</w:t>
            </w:r>
          </w:p>
        </w:tc>
      </w:tr>
      <w:tr w:rsidR="00361B07" w:rsidRPr="006C4A45" w14:paraId="0CC452BA" w14:textId="77777777" w:rsidTr="00361B07">
        <w:tc>
          <w:tcPr>
            <w:tcW w:w="3095" w:type="dxa"/>
          </w:tcPr>
          <w:p w14:paraId="71D3F91F" w14:textId="1141180C"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Общий тромбоз глубоких вен (%)</w:t>
            </w:r>
          </w:p>
        </w:tc>
        <w:tc>
          <w:tcPr>
            <w:tcW w:w="3096" w:type="dxa"/>
          </w:tcPr>
          <w:p w14:paraId="6C09204E" w14:textId="67EB99A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6 (</w:t>
            </w:r>
            <w:proofErr w:type="gramStart"/>
            <w:r w:rsidRPr="006C4A45">
              <w:rPr>
                <w:rFonts w:ascii="Times New Roman" w:eastAsia="Times New Roman" w:hAnsi="Times New Roman"/>
                <w:color w:val="000000"/>
                <w:sz w:val="24"/>
                <w:szCs w:val="24"/>
              </w:rPr>
              <w:t>6.6)*</w:t>
            </w:r>
            <w:proofErr w:type="gramEnd"/>
          </w:p>
        </w:tc>
        <w:tc>
          <w:tcPr>
            <w:tcW w:w="3096" w:type="dxa"/>
          </w:tcPr>
          <w:p w14:paraId="35294EE4" w14:textId="6809AC83"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18 (20.2)</w:t>
            </w:r>
          </w:p>
        </w:tc>
      </w:tr>
      <w:tr w:rsidR="00361B07" w:rsidRPr="006C4A45" w14:paraId="0163F432" w14:textId="77777777" w:rsidTr="00361B07">
        <w:tc>
          <w:tcPr>
            <w:tcW w:w="3095" w:type="dxa"/>
          </w:tcPr>
          <w:p w14:paraId="62A67180" w14:textId="3111148B" w:rsidR="00361B07" w:rsidRPr="006C4A45"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Проксимальный тромбоз глубоких вен (%)</w:t>
            </w:r>
          </w:p>
        </w:tc>
        <w:tc>
          <w:tcPr>
            <w:tcW w:w="3096" w:type="dxa"/>
          </w:tcPr>
          <w:p w14:paraId="265D23BA" w14:textId="57F9704E" w:rsidR="00361B07"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5 (</w:t>
            </w:r>
            <w:proofErr w:type="gramStart"/>
            <w:r w:rsidRPr="006C4A45">
              <w:rPr>
                <w:rFonts w:ascii="Times New Roman" w:eastAsia="Times New Roman" w:hAnsi="Times New Roman"/>
                <w:color w:val="000000"/>
                <w:sz w:val="24"/>
                <w:szCs w:val="24"/>
              </w:rPr>
              <w:t>5.6)#</w:t>
            </w:r>
            <w:proofErr w:type="gramEnd"/>
          </w:p>
        </w:tc>
        <w:tc>
          <w:tcPr>
            <w:tcW w:w="3096" w:type="dxa"/>
          </w:tcPr>
          <w:p w14:paraId="5E306372" w14:textId="36F3DCE9" w:rsidR="00361B07"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7 (8.8)</w:t>
            </w:r>
          </w:p>
        </w:tc>
      </w:tr>
      <w:tr w:rsidR="00361B07" w:rsidRPr="006C4A45" w14:paraId="47C1775A" w14:textId="77777777" w:rsidTr="00177591">
        <w:tc>
          <w:tcPr>
            <w:tcW w:w="9287" w:type="dxa"/>
            <w:gridSpan w:val="3"/>
          </w:tcPr>
          <w:p w14:paraId="20CACA04" w14:textId="524059F2"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*p-значение против плацебо = 0,008</w:t>
            </w:r>
          </w:p>
          <w:p w14:paraId="2208D433" w14:textId="1B60238B" w:rsidR="00361B07"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#p-значение против плацебо = 0,537</w:t>
            </w:r>
          </w:p>
        </w:tc>
      </w:tr>
    </w:tbl>
    <w:p w14:paraId="3761FD38" w14:textId="729B541D" w:rsidR="00361B07" w:rsidRPr="006C4A45" w:rsidRDefault="00144D6C"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Во втором двойном слепом исследовании 262 пациента без ВТЭ и перенесшие операцию по замене тазобедренного сустава, изначально лечившиеся во время госпитализации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были рандомизированы в группу с режимом после выписки либо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(n=131) один раз в день подкожно, либо в группу плацебо (n=131) в течение 3 недель. Подобно первому исследованию частота ВТЭ во время расширенной профилактики была значительно ниже 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по сравнению с плацебо как для общей ВТЭ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21 [16%] по сравнению с плацебо 45 [34,4%]; p=0,001), так и для проксимального ТГВ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8 [6,1%] по </w:t>
      </w:r>
      <w:r w:rsidRPr="006C4A45">
        <w:rPr>
          <w:rFonts w:ascii="Times New Roman" w:eastAsia="Times New Roman" w:hAnsi="Times New Roman" w:cs="Times New Roman"/>
          <w:color w:val="000000"/>
          <w:sz w:val="24"/>
          <w:szCs w:val="24"/>
          <w:lang w:eastAsia="ru-RU"/>
        </w:rPr>
        <w:lastRenderedPageBreak/>
        <w:t xml:space="preserve">сравнению с плацебо 28 [21,4%]; p=&lt;0,001). Никакой разницы в частоте серьезных кровотечений между группами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и плацебо не обнаружено.</w:t>
      </w:r>
    </w:p>
    <w:p w14:paraId="74330AE7" w14:textId="77777777"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Расширенная профилактика тромбоза глубоких вен после онкологической операции</w:t>
      </w:r>
    </w:p>
    <w:p w14:paraId="6536442A" w14:textId="77777777"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BF6D744" w14:textId="6DE1F006"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Двойное слепое многоцентровое исследование сравнило четырехнедельный и однонедельный режимы профилактики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с точки зрения безопасности и эффективности у 332 пациентов, перенесших плановую операцию по поводу рака брюшной полости или таза. Пациенты получали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(4000 МЕ (40 мг) подкожно) ежедневно в течение 6–10 дней, а затем были случайным образом распределены для получения либо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либо плацебо в течение еще 21 дня. Двусторонняя флебография проводилась между 25 и 31 днями или раньше, если возникали симптомы венозной тромбоэмболии. Пациенты наблюдались в течение трех месяцев. Профилактика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в течение четырех недель после операции по поводу рака брюшной полости или таза значительно снизила частоту тромбоза, подтвержденного флебографией, по сравнению с профилактикой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в течение одной недели. Частота венозной тромбоэмболии в конце двойной слепой фазы составила 12,0% (n=20) в группе плацебо и 4,8% (n=8)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p=0,02. Эта разница сохранялась в течение трех месяцев [13,8% против 5,5% (n=23 против 9), p=0,01]. Различий в частоте кровотечений или других осложнений в течение двойной слепой фазы или периода наблюдения не было.</w:t>
      </w:r>
    </w:p>
    <w:p w14:paraId="6B411A3F" w14:textId="035D31E3" w:rsidR="00361B07" w:rsidRPr="006C4A45" w:rsidRDefault="00144D6C"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6C4A45">
        <w:rPr>
          <w:rFonts w:ascii="Times New Roman" w:eastAsia="Times New Roman" w:hAnsi="Times New Roman" w:cs="Times New Roman"/>
          <w:i/>
          <w:iCs/>
          <w:color w:val="000000"/>
          <w:sz w:val="24"/>
          <w:szCs w:val="24"/>
          <w:lang w:eastAsia="ru-RU"/>
        </w:rPr>
        <w:t>Профилактика венозной тромбоэмболии у пациентов с острым заболеванием, которое может привести к ограничению подвижности</w:t>
      </w:r>
    </w:p>
    <w:p w14:paraId="0344963D" w14:textId="4F7BEA08"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двойном слепом многоцентровом исследовании с параллельными группами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2000 МЕ (20 мг) или 4000 МЕ (40 мг) один раз в день подкожно сравнивали с плацебо при профилактике тромбоза глубоких вен у пациентов с тяжелой ограниченной подвижностью во время острого заболевания (определяемого как расстояние ходьбы &lt;10 метров в течение ≤ 3 дней). В это исследование были включены пациенты с сердечной недостаточностью (NYHA класс III или IV); острой дыхательной недостаточностью или осложненной хронической дыхательной недостаточностью, а также острой инфекцией или острым ревматизмом; если это связано по крайней мере с одним фактором риска ВТЭ (возраст ≥ 75 лет, рак, предшествующая ВТЭ, ожирение, варикозное расширение вен, гормональная терапия и хроническая сердечная или дыхательная недостаточность).</w:t>
      </w:r>
    </w:p>
    <w:p w14:paraId="294F7163" w14:textId="7944624C" w:rsidR="00144D6C" w:rsidRPr="006C4A45"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 исследование было включено в общей сложности 1102 пациента, и 1073 пациента прошли лечение. Лечение продолжалось в течение 6–14 дней (медианная продолжительность 7 дней). При введении в дозе 4000 МЕ (40 мг) один раз в день подкожно </w:t>
      </w: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значительно снизил частоту ВТЭ по сравнению с плацебо. Данные об эффективности представлены в таблице ниже.</w:t>
      </w:r>
    </w:p>
    <w:tbl>
      <w:tblPr>
        <w:tblStyle w:val="aa"/>
        <w:tblW w:w="0" w:type="auto"/>
        <w:tblLook w:val="04A0" w:firstRow="1" w:lastRow="0" w:firstColumn="1" w:lastColumn="0" w:noHBand="0" w:noVBand="1"/>
      </w:tblPr>
      <w:tblGrid>
        <w:gridCol w:w="2321"/>
        <w:gridCol w:w="2322"/>
        <w:gridCol w:w="2322"/>
        <w:gridCol w:w="2322"/>
      </w:tblGrid>
      <w:tr w:rsidR="00144D6C" w:rsidRPr="006C4A45" w14:paraId="1A434D77" w14:textId="77777777" w:rsidTr="00144D6C">
        <w:tc>
          <w:tcPr>
            <w:tcW w:w="2321" w:type="dxa"/>
          </w:tcPr>
          <w:p w14:paraId="78524B42" w14:textId="77777777"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2322" w:type="dxa"/>
          </w:tcPr>
          <w:p w14:paraId="50682031" w14:textId="3034E7B2"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5507F0E2" w14:textId="78A9691C"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2000 МЕ (20 мг)</w:t>
            </w:r>
          </w:p>
          <w:p w14:paraId="1B51481F" w14:textId="16324206"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081E1A57" w14:textId="18487ECB"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2322" w:type="dxa"/>
          </w:tcPr>
          <w:p w14:paraId="64C6C369" w14:textId="562B1E09"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proofErr w:type="spellStart"/>
            <w:r w:rsidRPr="006C4A45">
              <w:rPr>
                <w:rFonts w:ascii="Times New Roman" w:eastAsia="Times New Roman" w:hAnsi="Times New Roman"/>
                <w:b/>
                <w:bCs/>
                <w:color w:val="000000"/>
                <w:sz w:val="24"/>
                <w:szCs w:val="24"/>
              </w:rPr>
              <w:t>Эноксапарин</w:t>
            </w:r>
            <w:proofErr w:type="spellEnd"/>
            <w:r w:rsidRPr="006C4A45">
              <w:rPr>
                <w:rFonts w:ascii="Times New Roman" w:eastAsia="Times New Roman" w:hAnsi="Times New Roman"/>
                <w:b/>
                <w:bCs/>
                <w:color w:val="000000"/>
                <w:sz w:val="24"/>
                <w:szCs w:val="24"/>
              </w:rPr>
              <w:t xml:space="preserve"> натрия</w:t>
            </w:r>
          </w:p>
          <w:p w14:paraId="1064F271" w14:textId="4F2C119D"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4000 МЕ (40 мг)</w:t>
            </w:r>
          </w:p>
          <w:p w14:paraId="5149CCC8" w14:textId="68ACA5C6"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один раз в день подкожно</w:t>
            </w:r>
          </w:p>
          <w:p w14:paraId="05E53CB9" w14:textId="1741E642"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c>
          <w:tcPr>
            <w:tcW w:w="2322" w:type="dxa"/>
          </w:tcPr>
          <w:p w14:paraId="2C2E5478" w14:textId="172DD8B4"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Плацебо</w:t>
            </w:r>
          </w:p>
          <w:p w14:paraId="465732C3" w14:textId="086B4B21" w:rsidR="00144D6C" w:rsidRPr="006C4A45" w:rsidRDefault="00144D6C"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n (%)</w:t>
            </w:r>
          </w:p>
        </w:tc>
      </w:tr>
      <w:tr w:rsidR="00144D6C" w:rsidRPr="006C4A45" w14:paraId="53E97535" w14:textId="77777777" w:rsidTr="00144D6C">
        <w:tc>
          <w:tcPr>
            <w:tcW w:w="2321" w:type="dxa"/>
          </w:tcPr>
          <w:p w14:paraId="22FF93EA" w14:textId="00D77A18" w:rsidR="00144D6C" w:rsidRPr="006C4A45" w:rsidRDefault="00144D6C"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 леченные пациенты во время острого заболевания</w:t>
            </w:r>
          </w:p>
        </w:tc>
        <w:tc>
          <w:tcPr>
            <w:tcW w:w="2322" w:type="dxa"/>
          </w:tcPr>
          <w:p w14:paraId="41DA4F00" w14:textId="3705296A"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287 (100)</w:t>
            </w:r>
          </w:p>
        </w:tc>
        <w:tc>
          <w:tcPr>
            <w:tcW w:w="2322" w:type="dxa"/>
          </w:tcPr>
          <w:p w14:paraId="6F15886A" w14:textId="1DD9F455"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291(100)</w:t>
            </w:r>
          </w:p>
        </w:tc>
        <w:tc>
          <w:tcPr>
            <w:tcW w:w="2322" w:type="dxa"/>
          </w:tcPr>
          <w:p w14:paraId="281F4D69" w14:textId="62038E5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288 (100)</w:t>
            </w:r>
          </w:p>
        </w:tc>
      </w:tr>
      <w:tr w:rsidR="00144D6C" w:rsidRPr="006C4A45" w14:paraId="73747C7C" w14:textId="77777777" w:rsidTr="00144D6C">
        <w:tc>
          <w:tcPr>
            <w:tcW w:w="2321" w:type="dxa"/>
          </w:tcPr>
          <w:p w14:paraId="3E4257B5" w14:textId="43083B15" w:rsidR="00144D6C" w:rsidRPr="006C4A45" w:rsidRDefault="00144D6C"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6C4A45">
              <w:rPr>
                <w:rFonts w:ascii="Times New Roman" w:eastAsia="Times New Roman" w:hAnsi="Times New Roman"/>
                <w:b/>
                <w:bCs/>
                <w:color w:val="000000"/>
                <w:sz w:val="24"/>
                <w:szCs w:val="24"/>
              </w:rPr>
              <w:t>Всего ВТЭ (%)</w:t>
            </w:r>
          </w:p>
        </w:tc>
        <w:tc>
          <w:tcPr>
            <w:tcW w:w="2322" w:type="dxa"/>
          </w:tcPr>
          <w:p w14:paraId="122B9259" w14:textId="5CF5E82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(15.0)</w:t>
            </w:r>
          </w:p>
        </w:tc>
        <w:tc>
          <w:tcPr>
            <w:tcW w:w="2322" w:type="dxa"/>
          </w:tcPr>
          <w:p w14:paraId="2C9A20C6" w14:textId="43DCB501"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16 (</w:t>
            </w:r>
            <w:proofErr w:type="gramStart"/>
            <w:r w:rsidRPr="006C4A45">
              <w:rPr>
                <w:rFonts w:ascii="Times New Roman" w:eastAsia="Times New Roman" w:hAnsi="Times New Roman"/>
                <w:color w:val="000000"/>
                <w:sz w:val="24"/>
                <w:szCs w:val="24"/>
              </w:rPr>
              <w:t>5.5)*</w:t>
            </w:r>
            <w:proofErr w:type="gramEnd"/>
          </w:p>
        </w:tc>
        <w:tc>
          <w:tcPr>
            <w:tcW w:w="2322" w:type="dxa"/>
          </w:tcPr>
          <w:p w14:paraId="2FE80780" w14:textId="66FF9902"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(14.9)</w:t>
            </w:r>
          </w:p>
        </w:tc>
      </w:tr>
      <w:tr w:rsidR="00144D6C" w:rsidRPr="006C4A45" w14:paraId="5A14DA49" w14:textId="77777777" w:rsidTr="00144D6C">
        <w:tc>
          <w:tcPr>
            <w:tcW w:w="2321" w:type="dxa"/>
          </w:tcPr>
          <w:p w14:paraId="56D889B8" w14:textId="635A132A"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Общий тромбоз глубоких вен (%)</w:t>
            </w:r>
          </w:p>
        </w:tc>
        <w:tc>
          <w:tcPr>
            <w:tcW w:w="2322" w:type="dxa"/>
          </w:tcPr>
          <w:p w14:paraId="4C284E9B" w14:textId="3F38F038"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43 (15.0)</w:t>
            </w:r>
          </w:p>
        </w:tc>
        <w:tc>
          <w:tcPr>
            <w:tcW w:w="2322" w:type="dxa"/>
          </w:tcPr>
          <w:p w14:paraId="415C6654" w14:textId="75B26B54"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16 (5.5)</w:t>
            </w:r>
          </w:p>
        </w:tc>
        <w:tc>
          <w:tcPr>
            <w:tcW w:w="2322" w:type="dxa"/>
          </w:tcPr>
          <w:p w14:paraId="10CE6C13" w14:textId="40814BF6"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40 (13.9)</w:t>
            </w:r>
          </w:p>
        </w:tc>
      </w:tr>
      <w:tr w:rsidR="00144D6C" w:rsidRPr="006C4A45" w14:paraId="70272971" w14:textId="77777777" w:rsidTr="00144D6C">
        <w:tc>
          <w:tcPr>
            <w:tcW w:w="2321" w:type="dxa"/>
          </w:tcPr>
          <w:p w14:paraId="6D070400" w14:textId="2FDC8113"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 xml:space="preserve">Проксимальный </w:t>
            </w:r>
            <w:r w:rsidRPr="006C4A45">
              <w:rPr>
                <w:rFonts w:ascii="Times New Roman" w:eastAsia="Times New Roman" w:hAnsi="Times New Roman"/>
                <w:color w:val="000000"/>
                <w:sz w:val="24"/>
                <w:szCs w:val="24"/>
              </w:rPr>
              <w:lastRenderedPageBreak/>
              <w:t>тромбоз глубоких вен (%)</w:t>
            </w:r>
          </w:p>
        </w:tc>
        <w:tc>
          <w:tcPr>
            <w:tcW w:w="2322" w:type="dxa"/>
          </w:tcPr>
          <w:p w14:paraId="413159E7" w14:textId="7E22D670"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lastRenderedPageBreak/>
              <w:t>13 (4.5)</w:t>
            </w:r>
          </w:p>
        </w:tc>
        <w:tc>
          <w:tcPr>
            <w:tcW w:w="2322" w:type="dxa"/>
          </w:tcPr>
          <w:p w14:paraId="1D52CDF5" w14:textId="4BC9E20C"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5 (1.7)</w:t>
            </w:r>
          </w:p>
        </w:tc>
        <w:tc>
          <w:tcPr>
            <w:tcW w:w="2322" w:type="dxa"/>
          </w:tcPr>
          <w:p w14:paraId="0CB3FE15" w14:textId="6507E60D" w:rsidR="00144D6C" w:rsidRPr="006C4A45"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14 (4.9)</w:t>
            </w:r>
          </w:p>
        </w:tc>
      </w:tr>
      <w:tr w:rsidR="00144D6C" w:rsidRPr="006C4A45" w14:paraId="0FA36DDB" w14:textId="77777777" w:rsidTr="00177591">
        <w:tc>
          <w:tcPr>
            <w:tcW w:w="9287" w:type="dxa"/>
            <w:gridSpan w:val="4"/>
          </w:tcPr>
          <w:p w14:paraId="7C73B488" w14:textId="5780F959"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ВТЭ = венозные тромбоэмболические события, включающие тромбоз глубоких вен, тромбоэмболию легочной артерии и смерть, считающуюся тромбоэмболической по происхождению</w:t>
            </w:r>
          </w:p>
          <w:p w14:paraId="6FFB1D64" w14:textId="7DE1B8F1" w:rsidR="00144D6C" w:rsidRPr="006C4A45" w:rsidRDefault="00144D6C"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6C4A45">
              <w:rPr>
                <w:rFonts w:ascii="Times New Roman" w:eastAsia="Times New Roman" w:hAnsi="Times New Roman"/>
                <w:color w:val="000000"/>
                <w:sz w:val="24"/>
                <w:szCs w:val="24"/>
              </w:rPr>
              <w:t>* значение p по сравнению с плацебо = 0,0002</w:t>
            </w:r>
          </w:p>
        </w:tc>
      </w:tr>
    </w:tbl>
    <w:p w14:paraId="3DB72D48" w14:textId="35D0794C" w:rsidR="00EA0157" w:rsidRPr="006C4A45" w:rsidRDefault="00EA0157" w:rsidP="00EA01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Примерно через 3 месяца после включения в исследование частота ВТЭ оставалась значительно ниже в группе лечения </w:t>
      </w:r>
      <w:proofErr w:type="spellStart"/>
      <w:r w:rsidRPr="006C4A45">
        <w:rPr>
          <w:rFonts w:ascii="Times New Roman" w:eastAsia="Times New Roman" w:hAnsi="Times New Roman" w:cs="Times New Roman"/>
          <w:color w:val="000000"/>
          <w:sz w:val="24"/>
          <w:szCs w:val="24"/>
          <w:lang w:eastAsia="ru-RU"/>
        </w:rPr>
        <w:t>эноксапарином</w:t>
      </w:r>
      <w:proofErr w:type="spellEnd"/>
      <w:r w:rsidRPr="006C4A45">
        <w:rPr>
          <w:rFonts w:ascii="Times New Roman" w:eastAsia="Times New Roman" w:hAnsi="Times New Roman" w:cs="Times New Roman"/>
          <w:color w:val="000000"/>
          <w:sz w:val="24"/>
          <w:szCs w:val="24"/>
          <w:lang w:eastAsia="ru-RU"/>
        </w:rPr>
        <w:t xml:space="preserve"> натрия 4000 МЕ (40 мг) по сравнению с группой лечения плацебо.</w:t>
      </w:r>
    </w:p>
    <w:p w14:paraId="1ACD4DD4" w14:textId="19CA275D" w:rsidR="00361B07" w:rsidRPr="006C4A45" w:rsidRDefault="00EA0157"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Частота общего и большого кровотечения составила соответственно 8,6% и 1,1% в группе плацебо, 11,7% и 0,3%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2000 МЕ (20 мг) и </w:t>
      </w:r>
      <w:proofErr w:type="gramStart"/>
      <w:r w:rsidRPr="006C4A45">
        <w:rPr>
          <w:rFonts w:ascii="Times New Roman" w:eastAsia="Times New Roman" w:hAnsi="Times New Roman" w:cs="Times New Roman"/>
          <w:color w:val="000000"/>
          <w:sz w:val="24"/>
          <w:szCs w:val="24"/>
          <w:lang w:eastAsia="ru-RU"/>
        </w:rPr>
        <w:t>12,6%</w:t>
      </w:r>
      <w:proofErr w:type="gramEnd"/>
      <w:r w:rsidRPr="006C4A45">
        <w:rPr>
          <w:rFonts w:ascii="Times New Roman" w:eastAsia="Times New Roman" w:hAnsi="Times New Roman" w:cs="Times New Roman"/>
          <w:color w:val="000000"/>
          <w:sz w:val="24"/>
          <w:szCs w:val="24"/>
          <w:lang w:eastAsia="ru-RU"/>
        </w:rPr>
        <w:t xml:space="preserve"> и 1,7% в группе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4000 МЕ (40 мг).</w:t>
      </w:r>
    </w:p>
    <w:p w14:paraId="452296A5" w14:textId="491859D7" w:rsidR="009C6F48" w:rsidRPr="006C4A45" w:rsidRDefault="009C6F48" w:rsidP="009C6F48">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Лечение тромбоза глубоких вен с тромбоэмболией легочной артерии или без нее</w:t>
      </w:r>
    </w:p>
    <w:p w14:paraId="2EEED0CD" w14:textId="5AFA22DD" w:rsidR="00361B07" w:rsidRPr="006C4A45" w:rsidRDefault="009C6F48" w:rsidP="009C6F48">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многоцентровом исследовании с параллельными группами 900 пациентов с острым тромбозом нижних конечностей с тромбоэмболией легочной артерии или без нее были рандомизированы на стационарное (больничное) лечение либо (i)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150 МЕ/кг (1,5 мг/кг) один раз в день подкожно, (</w:t>
      </w:r>
      <w:proofErr w:type="spellStart"/>
      <w:r w:rsidRPr="006C4A45">
        <w:rPr>
          <w:rFonts w:ascii="Times New Roman" w:eastAsia="Times New Roman" w:hAnsi="Times New Roman" w:cs="Times New Roman"/>
          <w:sz w:val="24"/>
          <w:szCs w:val="24"/>
          <w:lang w:eastAsia="en-GB"/>
        </w:rPr>
        <w:t>ii</w:t>
      </w:r>
      <w:proofErr w:type="spellEnd"/>
      <w:r w:rsidRPr="006C4A45">
        <w:rPr>
          <w:rFonts w:ascii="Times New Roman" w:eastAsia="Times New Roman" w:hAnsi="Times New Roman" w:cs="Times New Roman"/>
          <w:sz w:val="24"/>
          <w:szCs w:val="24"/>
          <w:lang w:eastAsia="en-GB"/>
        </w:rPr>
        <w:t xml:space="preserve">)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100 МЕ/кг (1 мг/кг) каждые 12 часов подкожно, или (</w:t>
      </w:r>
      <w:proofErr w:type="spellStart"/>
      <w:r w:rsidRPr="006C4A45">
        <w:rPr>
          <w:rFonts w:ascii="Times New Roman" w:eastAsia="Times New Roman" w:hAnsi="Times New Roman" w:cs="Times New Roman"/>
          <w:sz w:val="24"/>
          <w:szCs w:val="24"/>
          <w:lang w:eastAsia="en-GB"/>
        </w:rPr>
        <w:t>iii</w:t>
      </w:r>
      <w:proofErr w:type="spellEnd"/>
      <w:r w:rsidRPr="006C4A45">
        <w:rPr>
          <w:rFonts w:ascii="Times New Roman" w:eastAsia="Times New Roman" w:hAnsi="Times New Roman" w:cs="Times New Roman"/>
          <w:sz w:val="24"/>
          <w:szCs w:val="24"/>
          <w:lang w:eastAsia="en-GB"/>
        </w:rPr>
        <w:t xml:space="preserve">) гепарином внутривенно </w:t>
      </w:r>
      <w:proofErr w:type="spellStart"/>
      <w:r w:rsidRPr="006C4A45">
        <w:rPr>
          <w:rFonts w:ascii="Times New Roman" w:eastAsia="Times New Roman" w:hAnsi="Times New Roman" w:cs="Times New Roman"/>
          <w:sz w:val="24"/>
          <w:szCs w:val="24"/>
          <w:lang w:eastAsia="en-GB"/>
        </w:rPr>
        <w:t>болюсно</w:t>
      </w:r>
      <w:proofErr w:type="spellEnd"/>
      <w:r w:rsidRPr="006C4A45">
        <w:rPr>
          <w:rFonts w:ascii="Times New Roman" w:eastAsia="Times New Roman" w:hAnsi="Times New Roman" w:cs="Times New Roman"/>
          <w:sz w:val="24"/>
          <w:szCs w:val="24"/>
          <w:lang w:eastAsia="en-GB"/>
        </w:rPr>
        <w:t xml:space="preserve"> (5000 МЕ) с последующей непрерывной инфузией (вводимой для достижения АЧТВ 55–85 секунд). Всего в исследовании были рандомизированы 900 пациентов, и все пациенты прошли лечение. Все пациенты также получали варфарин натрия (доза корректировалась в соответствии с </w:t>
      </w:r>
      <w:proofErr w:type="spellStart"/>
      <w:r w:rsidRPr="006C4A45">
        <w:rPr>
          <w:rFonts w:ascii="Times New Roman" w:eastAsia="Times New Roman" w:hAnsi="Times New Roman" w:cs="Times New Roman"/>
          <w:sz w:val="24"/>
          <w:szCs w:val="24"/>
          <w:lang w:eastAsia="en-GB"/>
        </w:rPr>
        <w:t>протромбиновым</w:t>
      </w:r>
      <w:proofErr w:type="spellEnd"/>
      <w:r w:rsidRPr="006C4A45">
        <w:rPr>
          <w:rFonts w:ascii="Times New Roman" w:eastAsia="Times New Roman" w:hAnsi="Times New Roman" w:cs="Times New Roman"/>
          <w:sz w:val="24"/>
          <w:szCs w:val="24"/>
          <w:lang w:eastAsia="en-GB"/>
        </w:rPr>
        <w:t xml:space="preserve"> временем для достижения МНО 2,0–3,0), начиная с 72 часов после начала терапии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или стандартной </w:t>
      </w:r>
      <w:proofErr w:type="spellStart"/>
      <w:r w:rsidRPr="006C4A45">
        <w:rPr>
          <w:rFonts w:ascii="Times New Roman" w:eastAsia="Times New Roman" w:hAnsi="Times New Roman" w:cs="Times New Roman"/>
          <w:sz w:val="24"/>
          <w:szCs w:val="24"/>
          <w:lang w:eastAsia="en-GB"/>
        </w:rPr>
        <w:t>гепаринотерапией</w:t>
      </w:r>
      <w:proofErr w:type="spellEnd"/>
      <w:r w:rsidRPr="006C4A45">
        <w:rPr>
          <w:rFonts w:ascii="Times New Roman" w:eastAsia="Times New Roman" w:hAnsi="Times New Roman" w:cs="Times New Roman"/>
          <w:sz w:val="24"/>
          <w:szCs w:val="24"/>
          <w:lang w:eastAsia="en-GB"/>
        </w:rPr>
        <w:t xml:space="preserve"> и продолжая в течение 90 дней.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или стандартная </w:t>
      </w:r>
      <w:proofErr w:type="spellStart"/>
      <w:r w:rsidRPr="006C4A45">
        <w:rPr>
          <w:rFonts w:ascii="Times New Roman" w:eastAsia="Times New Roman" w:hAnsi="Times New Roman" w:cs="Times New Roman"/>
          <w:sz w:val="24"/>
          <w:szCs w:val="24"/>
          <w:lang w:eastAsia="en-GB"/>
        </w:rPr>
        <w:t>гепаринотерапия</w:t>
      </w:r>
      <w:proofErr w:type="spellEnd"/>
      <w:r w:rsidRPr="006C4A45">
        <w:rPr>
          <w:rFonts w:ascii="Times New Roman" w:eastAsia="Times New Roman" w:hAnsi="Times New Roman" w:cs="Times New Roman"/>
          <w:sz w:val="24"/>
          <w:szCs w:val="24"/>
          <w:lang w:eastAsia="en-GB"/>
        </w:rPr>
        <w:t xml:space="preserve"> назначались в течение как минимум 5 дней и до достижения целевого МНО варфарина натрия. Оба режима терапии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были эквивалентны стандартной </w:t>
      </w:r>
      <w:proofErr w:type="spellStart"/>
      <w:r w:rsidRPr="006C4A45">
        <w:rPr>
          <w:rFonts w:ascii="Times New Roman" w:eastAsia="Times New Roman" w:hAnsi="Times New Roman" w:cs="Times New Roman"/>
          <w:sz w:val="24"/>
          <w:szCs w:val="24"/>
          <w:lang w:eastAsia="en-GB"/>
        </w:rPr>
        <w:t>гепаринотерапии</w:t>
      </w:r>
      <w:proofErr w:type="spellEnd"/>
      <w:r w:rsidRPr="006C4A45">
        <w:rPr>
          <w:rFonts w:ascii="Times New Roman" w:eastAsia="Times New Roman" w:hAnsi="Times New Roman" w:cs="Times New Roman"/>
          <w:sz w:val="24"/>
          <w:szCs w:val="24"/>
          <w:lang w:eastAsia="en-GB"/>
        </w:rPr>
        <w:t xml:space="preserve"> в снижении риска рецидивирующей венозной тромбоэмболии (ТГВ и/или ТЭЛА). Данные об эффективности представлены в таблице ниже.</w:t>
      </w:r>
    </w:p>
    <w:tbl>
      <w:tblPr>
        <w:tblStyle w:val="aa"/>
        <w:tblW w:w="0" w:type="auto"/>
        <w:tblLook w:val="04A0" w:firstRow="1" w:lastRow="0" w:firstColumn="1" w:lastColumn="0" w:noHBand="0" w:noVBand="1"/>
      </w:tblPr>
      <w:tblGrid>
        <w:gridCol w:w="2308"/>
        <w:gridCol w:w="2300"/>
        <w:gridCol w:w="2300"/>
        <w:gridCol w:w="2379"/>
      </w:tblGrid>
      <w:tr w:rsidR="009C6F48" w:rsidRPr="006C4A45" w14:paraId="1A48E99F" w14:textId="77777777" w:rsidTr="009C6F48">
        <w:tc>
          <w:tcPr>
            <w:tcW w:w="2308" w:type="dxa"/>
          </w:tcPr>
          <w:p w14:paraId="1AA37107" w14:textId="77777777"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2300" w:type="dxa"/>
          </w:tcPr>
          <w:p w14:paraId="20FD1406"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натрия</w:t>
            </w:r>
          </w:p>
          <w:p w14:paraId="27F5FC87"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150 МЕ/кг (1,5 мг/кг)</w:t>
            </w:r>
          </w:p>
          <w:p w14:paraId="22E5926C"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один раз в день подкожно</w:t>
            </w:r>
          </w:p>
          <w:p w14:paraId="0B33E094" w14:textId="5C2F08BB"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c>
          <w:tcPr>
            <w:tcW w:w="2300" w:type="dxa"/>
          </w:tcPr>
          <w:p w14:paraId="25477851"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натрия</w:t>
            </w:r>
          </w:p>
          <w:p w14:paraId="41DF7B0A"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100 МЕ/кг (1 мг/кг)</w:t>
            </w:r>
          </w:p>
          <w:p w14:paraId="358010A4" w14:textId="77777777"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дважды в день подкожно</w:t>
            </w:r>
          </w:p>
          <w:p w14:paraId="603B48BC" w14:textId="0D0B2D89"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c>
          <w:tcPr>
            <w:tcW w:w="2379" w:type="dxa"/>
          </w:tcPr>
          <w:p w14:paraId="128B6B85" w14:textId="2BFC442D"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Гепарин</w:t>
            </w:r>
          </w:p>
          <w:p w14:paraId="22DA20F8" w14:textId="07D0369C"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АЧТВ скорректированная внутривенная терапия</w:t>
            </w:r>
          </w:p>
          <w:p w14:paraId="5D622C43" w14:textId="252F8B35" w:rsidR="009C6F48" w:rsidRPr="006C4A45" w:rsidRDefault="009C6F48"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 (%)</w:t>
            </w:r>
          </w:p>
        </w:tc>
      </w:tr>
      <w:tr w:rsidR="009C6F48" w:rsidRPr="006C4A45" w14:paraId="55549FB1" w14:textId="77777777" w:rsidTr="009C6F48">
        <w:tc>
          <w:tcPr>
            <w:tcW w:w="2308" w:type="dxa"/>
          </w:tcPr>
          <w:p w14:paraId="7A374616" w14:textId="76781C92"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Все пациенты с тромбозом глубоких вен, прошедшие лечение, с тромбоэмболией легочной артерии или без нее</w:t>
            </w:r>
          </w:p>
        </w:tc>
        <w:tc>
          <w:tcPr>
            <w:tcW w:w="2300" w:type="dxa"/>
          </w:tcPr>
          <w:p w14:paraId="3588A537" w14:textId="08111CBF"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298 (100)</w:t>
            </w:r>
          </w:p>
        </w:tc>
        <w:tc>
          <w:tcPr>
            <w:tcW w:w="2300" w:type="dxa"/>
          </w:tcPr>
          <w:p w14:paraId="5637061F" w14:textId="7ECCDEA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312 (100)</w:t>
            </w:r>
          </w:p>
        </w:tc>
        <w:tc>
          <w:tcPr>
            <w:tcW w:w="2379" w:type="dxa"/>
          </w:tcPr>
          <w:p w14:paraId="17F2B69F" w14:textId="2A4853D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290 (100)</w:t>
            </w:r>
          </w:p>
        </w:tc>
      </w:tr>
      <w:tr w:rsidR="009C6F48" w:rsidRPr="006C4A45" w14:paraId="64FE2324" w14:textId="77777777" w:rsidTr="009C6F48">
        <w:tc>
          <w:tcPr>
            <w:tcW w:w="2308" w:type="dxa"/>
          </w:tcPr>
          <w:p w14:paraId="2A7F3067" w14:textId="195F2E49"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Всего ВТЭ (%)</w:t>
            </w:r>
          </w:p>
        </w:tc>
        <w:tc>
          <w:tcPr>
            <w:tcW w:w="2300" w:type="dxa"/>
          </w:tcPr>
          <w:p w14:paraId="6C70B6DB" w14:textId="49AA25B5"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13 (</w:t>
            </w:r>
            <w:proofErr w:type="gramStart"/>
            <w:r w:rsidRPr="006C4A45">
              <w:rPr>
                <w:rFonts w:ascii="Times New Roman" w:eastAsia="Times New Roman" w:hAnsi="Times New Roman"/>
                <w:sz w:val="24"/>
                <w:szCs w:val="24"/>
                <w:lang w:eastAsia="en-GB"/>
              </w:rPr>
              <w:t>4.4)*</w:t>
            </w:r>
            <w:proofErr w:type="gramEnd"/>
          </w:p>
        </w:tc>
        <w:tc>
          <w:tcPr>
            <w:tcW w:w="2300" w:type="dxa"/>
          </w:tcPr>
          <w:p w14:paraId="3B23EECA" w14:textId="7ABB710A"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9 (</w:t>
            </w:r>
            <w:proofErr w:type="gramStart"/>
            <w:r w:rsidRPr="006C4A45">
              <w:rPr>
                <w:rFonts w:ascii="Times New Roman" w:eastAsia="Times New Roman" w:hAnsi="Times New Roman"/>
                <w:sz w:val="24"/>
                <w:szCs w:val="24"/>
                <w:lang w:eastAsia="en-GB"/>
              </w:rPr>
              <w:t>2.9)*</w:t>
            </w:r>
            <w:proofErr w:type="gramEnd"/>
          </w:p>
        </w:tc>
        <w:tc>
          <w:tcPr>
            <w:tcW w:w="2379" w:type="dxa"/>
          </w:tcPr>
          <w:p w14:paraId="6C8C7F57" w14:textId="7E159125"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12 (4.1)</w:t>
            </w:r>
          </w:p>
        </w:tc>
      </w:tr>
      <w:tr w:rsidR="009C6F48" w:rsidRPr="006C4A45" w14:paraId="1AFF6C73" w14:textId="77777777" w:rsidTr="009C6F48">
        <w:tc>
          <w:tcPr>
            <w:tcW w:w="2308" w:type="dxa"/>
          </w:tcPr>
          <w:p w14:paraId="049703B5" w14:textId="2F897CD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Только тромбоз глубоких вен (%)</w:t>
            </w:r>
          </w:p>
        </w:tc>
        <w:tc>
          <w:tcPr>
            <w:tcW w:w="2300" w:type="dxa"/>
          </w:tcPr>
          <w:p w14:paraId="3075F240" w14:textId="3671AB0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(3.7)</w:t>
            </w:r>
          </w:p>
        </w:tc>
        <w:tc>
          <w:tcPr>
            <w:tcW w:w="2300" w:type="dxa"/>
          </w:tcPr>
          <w:p w14:paraId="37DB3D45" w14:textId="19F7525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(2.2)</w:t>
            </w:r>
          </w:p>
        </w:tc>
        <w:tc>
          <w:tcPr>
            <w:tcW w:w="2379" w:type="dxa"/>
          </w:tcPr>
          <w:p w14:paraId="70CA467F" w14:textId="526164B6"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 (2.8)</w:t>
            </w:r>
          </w:p>
        </w:tc>
      </w:tr>
      <w:tr w:rsidR="009C6F48" w:rsidRPr="006C4A45" w14:paraId="2ECCBF45" w14:textId="77777777" w:rsidTr="009C6F48">
        <w:tc>
          <w:tcPr>
            <w:tcW w:w="2308" w:type="dxa"/>
          </w:tcPr>
          <w:p w14:paraId="53F04A6C" w14:textId="1986E9BB"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Проксимальный тромбоз глубоких вен (%)</w:t>
            </w:r>
          </w:p>
        </w:tc>
        <w:tc>
          <w:tcPr>
            <w:tcW w:w="2300" w:type="dxa"/>
          </w:tcPr>
          <w:p w14:paraId="4463F87C" w14:textId="115E2A13"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9 (3.0)</w:t>
            </w:r>
          </w:p>
        </w:tc>
        <w:tc>
          <w:tcPr>
            <w:tcW w:w="2300" w:type="dxa"/>
          </w:tcPr>
          <w:p w14:paraId="4A40926D" w14:textId="4CFF388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(1.9)</w:t>
            </w:r>
          </w:p>
        </w:tc>
        <w:tc>
          <w:tcPr>
            <w:tcW w:w="2379" w:type="dxa"/>
          </w:tcPr>
          <w:p w14:paraId="2A3E3039" w14:textId="3EF4C977"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(2.4)</w:t>
            </w:r>
          </w:p>
        </w:tc>
      </w:tr>
      <w:tr w:rsidR="009C6F48" w:rsidRPr="006C4A45" w14:paraId="1C826EEA" w14:textId="77777777" w:rsidTr="009C6F48">
        <w:tc>
          <w:tcPr>
            <w:tcW w:w="2308" w:type="dxa"/>
          </w:tcPr>
          <w:p w14:paraId="627AD200" w14:textId="7330BF04"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ПЭ (%)</w:t>
            </w:r>
          </w:p>
        </w:tc>
        <w:tc>
          <w:tcPr>
            <w:tcW w:w="2300" w:type="dxa"/>
          </w:tcPr>
          <w:p w14:paraId="1CD726D7" w14:textId="5F7A23DD"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 (0.7)</w:t>
            </w:r>
          </w:p>
        </w:tc>
        <w:tc>
          <w:tcPr>
            <w:tcW w:w="2300" w:type="dxa"/>
          </w:tcPr>
          <w:p w14:paraId="04F9BB9C" w14:textId="3FACA45C"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 (0.6)</w:t>
            </w:r>
          </w:p>
        </w:tc>
        <w:tc>
          <w:tcPr>
            <w:tcW w:w="2379" w:type="dxa"/>
          </w:tcPr>
          <w:p w14:paraId="7B9EF74E" w14:textId="114D71AD" w:rsidR="009C6F48" w:rsidRPr="006C4A45"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(1.4)</w:t>
            </w:r>
          </w:p>
        </w:tc>
      </w:tr>
      <w:tr w:rsidR="009C6F48" w:rsidRPr="006C4A45" w14:paraId="36918898" w14:textId="77777777" w:rsidTr="00177591">
        <w:tc>
          <w:tcPr>
            <w:tcW w:w="9287" w:type="dxa"/>
            <w:gridSpan w:val="4"/>
          </w:tcPr>
          <w:p w14:paraId="28E54E1A" w14:textId="7FF1FC11"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ВТЭ = венозное тромбоэмболическое событие (ТГВ и/или ТЭЛА)</w:t>
            </w:r>
          </w:p>
          <w:p w14:paraId="7CCECD68" w14:textId="01601EB7"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lastRenderedPageBreak/>
              <w:t>*95% доверительные интервалы для различий в лечении для общего ВТЭ были:</w:t>
            </w:r>
          </w:p>
          <w:p w14:paraId="4F26056B" w14:textId="5F86F805"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6C4A45">
              <w:rPr>
                <w:rFonts w:ascii="Times New Roman" w:eastAsia="Times New Roman" w:hAnsi="Times New Roman"/>
                <w:sz w:val="24"/>
                <w:szCs w:val="24"/>
                <w:lang w:eastAsia="en-GB"/>
              </w:rPr>
              <w:t>эноксапарин</w:t>
            </w:r>
            <w:proofErr w:type="spellEnd"/>
            <w:r w:rsidRPr="006C4A45">
              <w:rPr>
                <w:rFonts w:ascii="Times New Roman" w:eastAsia="Times New Roman" w:hAnsi="Times New Roman"/>
                <w:sz w:val="24"/>
                <w:szCs w:val="24"/>
                <w:lang w:eastAsia="en-GB"/>
              </w:rPr>
              <w:t xml:space="preserve"> натрия один раз в день по сравнению с гепарином (-3,0 – 3,5)</w:t>
            </w:r>
          </w:p>
          <w:p w14:paraId="002C1796" w14:textId="00AAAEB2" w:rsidR="009C6F48" w:rsidRPr="006C4A45" w:rsidRDefault="009C6F48" w:rsidP="009C6F48">
            <w:p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6C4A45">
              <w:rPr>
                <w:rFonts w:ascii="Times New Roman" w:eastAsia="Times New Roman" w:hAnsi="Times New Roman"/>
                <w:sz w:val="24"/>
                <w:szCs w:val="24"/>
                <w:lang w:eastAsia="en-GB"/>
              </w:rPr>
              <w:t>эноксапарин</w:t>
            </w:r>
            <w:proofErr w:type="spellEnd"/>
            <w:r w:rsidRPr="006C4A45">
              <w:rPr>
                <w:rFonts w:ascii="Times New Roman" w:eastAsia="Times New Roman" w:hAnsi="Times New Roman"/>
                <w:sz w:val="24"/>
                <w:szCs w:val="24"/>
                <w:lang w:eastAsia="en-GB"/>
              </w:rPr>
              <w:t xml:space="preserve"> натрия каждые 12 часов по сравнению с гепарином (-4,2 – 1,7).</w:t>
            </w:r>
          </w:p>
        </w:tc>
      </w:tr>
    </w:tbl>
    <w:p w14:paraId="7EECD858" w14:textId="49B9299B" w:rsidR="00EA0157" w:rsidRPr="006C4A45" w:rsidRDefault="009C6F48"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Массивные кровотечения составили соответственно 1,7%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150 МЕ/кг (1,5 мг/кг) один раз в день, 1,3%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100 МЕ/кг (1 мг/кг) два раза в день и 2,1% в группе гепарина.</w:t>
      </w:r>
    </w:p>
    <w:p w14:paraId="039A20EC" w14:textId="0D4FD7C4" w:rsidR="00EA0157" w:rsidRPr="006C4A45" w:rsidRDefault="009C6F48" w:rsidP="005D7901">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Расширенное лечение тромбоза глубоких вен (ТГВ) и тромбоэмболии легочной артерии (ТЭЛА) и профилактика их рецидивов у пациентов с активным раком</w:t>
      </w:r>
    </w:p>
    <w:p w14:paraId="09E4AF8E" w14:textId="2CF0E768"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клинических испытаниях с ограниченным числом пациентов сообщаемые показатели рецидива ВТЭ у пациентов, получавших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один или два раза в день в течение 3–6 месяцев, оказались сопоставимыми с показателями при приеме варфарина.</w:t>
      </w:r>
    </w:p>
    <w:p w14:paraId="01C2D657" w14:textId="252F9196" w:rsidR="009C6F48"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Эффективность в реальных условиях оценивалась в когорте из 4451 пациента с симптоматической ВТЭ и активным раком из многонационального регистра RIETE пациентов с ВТЭ и другими тромботическими состояниями. 3526 пациентов получали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подкожно до 6 месяцев, а 925 пациентов получали </w:t>
      </w:r>
      <w:proofErr w:type="spellStart"/>
      <w:r w:rsidRPr="006C4A45">
        <w:rPr>
          <w:rFonts w:ascii="Times New Roman" w:eastAsia="Times New Roman" w:hAnsi="Times New Roman" w:cs="Times New Roman"/>
          <w:sz w:val="24"/>
          <w:szCs w:val="24"/>
          <w:lang w:eastAsia="en-GB"/>
        </w:rPr>
        <w:t>тинзапарин</w:t>
      </w:r>
      <w:proofErr w:type="spellEnd"/>
      <w:r w:rsidRPr="006C4A45">
        <w:rPr>
          <w:rFonts w:ascii="Times New Roman" w:eastAsia="Times New Roman" w:hAnsi="Times New Roman" w:cs="Times New Roman"/>
          <w:sz w:val="24"/>
          <w:szCs w:val="24"/>
          <w:lang w:eastAsia="en-GB"/>
        </w:rPr>
        <w:t xml:space="preserve"> или </w:t>
      </w:r>
      <w:proofErr w:type="spellStart"/>
      <w:r w:rsidRPr="006C4A45">
        <w:rPr>
          <w:rFonts w:ascii="Times New Roman" w:eastAsia="Times New Roman" w:hAnsi="Times New Roman" w:cs="Times New Roman"/>
          <w:sz w:val="24"/>
          <w:szCs w:val="24"/>
          <w:lang w:eastAsia="en-GB"/>
        </w:rPr>
        <w:t>дальтепарин</w:t>
      </w:r>
      <w:proofErr w:type="spellEnd"/>
      <w:r w:rsidRPr="006C4A45">
        <w:rPr>
          <w:rFonts w:ascii="Times New Roman" w:eastAsia="Times New Roman" w:hAnsi="Times New Roman" w:cs="Times New Roman"/>
          <w:sz w:val="24"/>
          <w:szCs w:val="24"/>
          <w:lang w:eastAsia="en-GB"/>
        </w:rPr>
        <w:t xml:space="preserve"> подкожно. Среди 3526 пациентов, получавших лечение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891 пациент получал 1,5 мг/кг один раз в день в качестве начальной терапии и продленное лечение до 6 месяцев (только один раз в день), 1854 пациента получали начальную дозу 1,0 мг/кг два раза в день и продленное лечение до 6 месяцев (только два раза в день), а 687 пациентов получали 1,0 мг/кг два раза в день в качестве начальной терапии, а затем 1,5 мг/кг один раз в день (два раза в день-один раз в день) в качестве продленного лечения до 6 месяцев. Средняя и медианная продолжительность лечения до смены режима составила 17 дней и 8 дней соответственно. Не было никакой существенной разницы в частоте рецидивов ВТЭ между двумя группами лечения (см. таблицу), при этом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соответствовал заранее определенному критерию не меньшей эффективности 1,5 (HR, скорректированный по соответствующим </w:t>
      </w:r>
      <w:proofErr w:type="spellStart"/>
      <w:r w:rsidRPr="006C4A45">
        <w:rPr>
          <w:rFonts w:ascii="Times New Roman" w:eastAsia="Times New Roman" w:hAnsi="Times New Roman" w:cs="Times New Roman"/>
          <w:sz w:val="24"/>
          <w:szCs w:val="24"/>
          <w:lang w:eastAsia="en-GB"/>
        </w:rPr>
        <w:t>ковариатам</w:t>
      </w:r>
      <w:proofErr w:type="spellEnd"/>
      <w:r w:rsidRPr="006C4A45">
        <w:rPr>
          <w:rFonts w:ascii="Times New Roman" w:eastAsia="Times New Roman" w:hAnsi="Times New Roman" w:cs="Times New Roman"/>
          <w:sz w:val="24"/>
          <w:szCs w:val="24"/>
          <w:lang w:eastAsia="en-GB"/>
        </w:rPr>
        <w:t xml:space="preserve"> 0,817, 95% ДИ: 0,499–1,336). Не было выявлено статистически значимой разницы между двумя группами лечения в отношении относительного риска массивного (фатального или </w:t>
      </w:r>
      <w:proofErr w:type="spellStart"/>
      <w:r w:rsidRPr="006C4A45">
        <w:rPr>
          <w:rFonts w:ascii="Times New Roman" w:eastAsia="Times New Roman" w:hAnsi="Times New Roman" w:cs="Times New Roman"/>
          <w:sz w:val="24"/>
          <w:szCs w:val="24"/>
          <w:lang w:eastAsia="en-GB"/>
        </w:rPr>
        <w:t>нефатального</w:t>
      </w:r>
      <w:proofErr w:type="spellEnd"/>
      <w:r w:rsidRPr="006C4A45">
        <w:rPr>
          <w:rFonts w:ascii="Times New Roman" w:eastAsia="Times New Roman" w:hAnsi="Times New Roman" w:cs="Times New Roman"/>
          <w:sz w:val="24"/>
          <w:szCs w:val="24"/>
          <w:lang w:eastAsia="en-GB"/>
        </w:rPr>
        <w:t>) кровотечения и смерти по любой причине (см. таблицу).</w:t>
      </w:r>
    </w:p>
    <w:p w14:paraId="274D7EE0" w14:textId="205C826C" w:rsidR="009C6F48" w:rsidRPr="006C4A45" w:rsidRDefault="00317462"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Таблица: Результаты эффективности и безопасности в исследовании RIETECAT</w:t>
      </w:r>
    </w:p>
    <w:tbl>
      <w:tblPr>
        <w:tblStyle w:val="aa"/>
        <w:tblW w:w="0" w:type="auto"/>
        <w:tblLook w:val="04A0" w:firstRow="1" w:lastRow="0" w:firstColumn="1" w:lastColumn="0" w:noHBand="0" w:noVBand="1"/>
      </w:tblPr>
      <w:tblGrid>
        <w:gridCol w:w="2119"/>
        <w:gridCol w:w="2137"/>
        <w:gridCol w:w="2541"/>
        <w:gridCol w:w="2490"/>
      </w:tblGrid>
      <w:tr w:rsidR="00317462" w:rsidRPr="006C4A45" w14:paraId="08E285A2" w14:textId="77777777" w:rsidTr="00317462">
        <w:tc>
          <w:tcPr>
            <w:tcW w:w="2119" w:type="dxa"/>
          </w:tcPr>
          <w:p w14:paraId="59FCA2D3" w14:textId="69982652" w:rsidR="00317462" w:rsidRPr="006C4A45" w:rsidRDefault="00317462"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Исход</w:t>
            </w:r>
          </w:p>
        </w:tc>
        <w:tc>
          <w:tcPr>
            <w:tcW w:w="2137" w:type="dxa"/>
          </w:tcPr>
          <w:p w14:paraId="349E5BB2" w14:textId="22ED96EC"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p>
          <w:p w14:paraId="4BFF5198" w14:textId="3A308698"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n=3526</w:t>
            </w:r>
          </w:p>
        </w:tc>
        <w:tc>
          <w:tcPr>
            <w:tcW w:w="2541" w:type="dxa"/>
          </w:tcPr>
          <w:p w14:paraId="3BA18307" w14:textId="635F73EC"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Другие НМГ (низкомолекулярные гепарины)</w:t>
            </w:r>
          </w:p>
          <w:p w14:paraId="1CE9FF00" w14:textId="3E2C8699"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n=925</w:t>
            </w:r>
          </w:p>
        </w:tc>
        <w:tc>
          <w:tcPr>
            <w:tcW w:w="2490" w:type="dxa"/>
          </w:tcPr>
          <w:p w14:paraId="4F112BB0" w14:textId="498A47C3"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Скорректированные коэффициенты риска</w:t>
            </w:r>
          </w:p>
          <w:p w14:paraId="1FC9CB19" w14:textId="58EFEBFD"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/другие НМГ</w:t>
            </w:r>
          </w:p>
          <w:p w14:paraId="57E8611D" w14:textId="1B8146EA" w:rsidR="00317462" w:rsidRPr="006C4A45" w:rsidRDefault="00317462"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[95% доверительный интервал]</w:t>
            </w:r>
          </w:p>
        </w:tc>
      </w:tr>
      <w:tr w:rsidR="00317462" w:rsidRPr="006C4A45" w14:paraId="4F3803E0" w14:textId="77777777" w:rsidTr="00317462">
        <w:tc>
          <w:tcPr>
            <w:tcW w:w="2119" w:type="dxa"/>
          </w:tcPr>
          <w:p w14:paraId="752D4122" w14:textId="10BD723E"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Рецидив ВТЭ</w:t>
            </w:r>
          </w:p>
        </w:tc>
        <w:tc>
          <w:tcPr>
            <w:tcW w:w="2137" w:type="dxa"/>
          </w:tcPr>
          <w:p w14:paraId="6428B8C6" w14:textId="0B744BD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70 (2.0%)</w:t>
            </w:r>
          </w:p>
        </w:tc>
        <w:tc>
          <w:tcPr>
            <w:tcW w:w="2541" w:type="dxa"/>
          </w:tcPr>
          <w:p w14:paraId="094574DA" w14:textId="501301B1"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(2.5%)</w:t>
            </w:r>
          </w:p>
        </w:tc>
        <w:tc>
          <w:tcPr>
            <w:tcW w:w="2490" w:type="dxa"/>
          </w:tcPr>
          <w:p w14:paraId="48A07868" w14:textId="438D2CD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0.817, </w:t>
            </w:r>
            <w:proofErr w:type="gramStart"/>
            <w:r w:rsidRPr="006C4A45">
              <w:rPr>
                <w:rFonts w:ascii="Times New Roman" w:eastAsia="Times New Roman" w:hAnsi="Times New Roman"/>
                <w:sz w:val="24"/>
                <w:szCs w:val="24"/>
                <w:lang w:eastAsia="en-GB"/>
              </w:rPr>
              <w:t>[ 0.499</w:t>
            </w:r>
            <w:proofErr w:type="gramEnd"/>
            <w:r w:rsidRPr="006C4A45">
              <w:rPr>
                <w:rFonts w:ascii="Times New Roman" w:eastAsia="Times New Roman" w:hAnsi="Times New Roman"/>
                <w:sz w:val="24"/>
                <w:szCs w:val="24"/>
                <w:lang w:eastAsia="en-GB"/>
              </w:rPr>
              <w:t>-1.336]</w:t>
            </w:r>
          </w:p>
        </w:tc>
      </w:tr>
      <w:tr w:rsidR="00317462" w:rsidRPr="006C4A45" w14:paraId="42ECB5E2" w14:textId="77777777" w:rsidTr="00317462">
        <w:tc>
          <w:tcPr>
            <w:tcW w:w="2119" w:type="dxa"/>
          </w:tcPr>
          <w:p w14:paraId="32F976E7" w14:textId="4F2BD1B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Сильное кровотечение</w:t>
            </w:r>
          </w:p>
        </w:tc>
        <w:tc>
          <w:tcPr>
            <w:tcW w:w="2137" w:type="dxa"/>
          </w:tcPr>
          <w:p w14:paraId="27533D2F" w14:textId="75A782C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111 (3.1%)</w:t>
            </w:r>
          </w:p>
        </w:tc>
        <w:tc>
          <w:tcPr>
            <w:tcW w:w="2541" w:type="dxa"/>
          </w:tcPr>
          <w:p w14:paraId="3F5EEF91" w14:textId="1C36FD6A"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18 (1.9%)</w:t>
            </w:r>
          </w:p>
        </w:tc>
        <w:tc>
          <w:tcPr>
            <w:tcW w:w="2490" w:type="dxa"/>
          </w:tcPr>
          <w:p w14:paraId="3819700F" w14:textId="554011D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1.522, </w:t>
            </w:r>
            <w:proofErr w:type="gramStart"/>
            <w:r w:rsidRPr="006C4A45">
              <w:rPr>
                <w:rFonts w:ascii="Times New Roman" w:eastAsia="Times New Roman" w:hAnsi="Times New Roman"/>
                <w:sz w:val="24"/>
                <w:szCs w:val="24"/>
                <w:lang w:eastAsia="en-GB"/>
              </w:rPr>
              <w:t>[ 0.899</w:t>
            </w:r>
            <w:proofErr w:type="gramEnd"/>
            <w:r w:rsidRPr="006C4A45">
              <w:rPr>
                <w:rFonts w:ascii="Times New Roman" w:eastAsia="Times New Roman" w:hAnsi="Times New Roman"/>
                <w:sz w:val="24"/>
                <w:szCs w:val="24"/>
                <w:lang w:eastAsia="en-GB"/>
              </w:rPr>
              <w:t>-2.577]</w:t>
            </w:r>
          </w:p>
        </w:tc>
      </w:tr>
      <w:tr w:rsidR="00317462" w:rsidRPr="006C4A45" w14:paraId="113AF5BF" w14:textId="77777777" w:rsidTr="00317462">
        <w:tc>
          <w:tcPr>
            <w:tcW w:w="2119" w:type="dxa"/>
          </w:tcPr>
          <w:p w14:paraId="0E0A6F0E" w14:textId="0AE2AAF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Небольшое кровотечение</w:t>
            </w:r>
          </w:p>
        </w:tc>
        <w:tc>
          <w:tcPr>
            <w:tcW w:w="2137" w:type="dxa"/>
          </w:tcPr>
          <w:p w14:paraId="4153184B" w14:textId="3E77DDF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87 (2.5%)</w:t>
            </w:r>
          </w:p>
        </w:tc>
        <w:tc>
          <w:tcPr>
            <w:tcW w:w="2541" w:type="dxa"/>
          </w:tcPr>
          <w:p w14:paraId="2BD7D588" w14:textId="6E76524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(2.6%)</w:t>
            </w:r>
          </w:p>
        </w:tc>
        <w:tc>
          <w:tcPr>
            <w:tcW w:w="2490" w:type="dxa"/>
          </w:tcPr>
          <w:p w14:paraId="1227858C" w14:textId="7B29D549" w:rsidR="00317462" w:rsidRPr="006C4A45" w:rsidRDefault="00317462" w:rsidP="00317462">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0.881, [0.550-1.410]</w:t>
            </w:r>
          </w:p>
        </w:tc>
      </w:tr>
      <w:tr w:rsidR="00317462" w:rsidRPr="006C4A45" w14:paraId="53D00B99" w14:textId="77777777" w:rsidTr="00317462">
        <w:tc>
          <w:tcPr>
            <w:tcW w:w="2119" w:type="dxa"/>
          </w:tcPr>
          <w:p w14:paraId="1DF26878" w14:textId="6A84132B"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Общая смертность</w:t>
            </w:r>
          </w:p>
        </w:tc>
        <w:tc>
          <w:tcPr>
            <w:tcW w:w="2137" w:type="dxa"/>
          </w:tcPr>
          <w:p w14:paraId="779E9364" w14:textId="4C95D3DC"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666 (18.9%)</w:t>
            </w:r>
          </w:p>
        </w:tc>
        <w:tc>
          <w:tcPr>
            <w:tcW w:w="2541" w:type="dxa"/>
          </w:tcPr>
          <w:p w14:paraId="19894E54" w14:textId="1A6F5898"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157 (17.0%)</w:t>
            </w:r>
          </w:p>
        </w:tc>
        <w:tc>
          <w:tcPr>
            <w:tcW w:w="2490" w:type="dxa"/>
          </w:tcPr>
          <w:p w14:paraId="438EAEAD" w14:textId="19B158FD"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 xml:space="preserve">0.974, </w:t>
            </w:r>
            <w:proofErr w:type="gramStart"/>
            <w:r w:rsidRPr="006C4A45">
              <w:rPr>
                <w:rFonts w:ascii="Times New Roman" w:eastAsia="Times New Roman" w:hAnsi="Times New Roman"/>
                <w:sz w:val="24"/>
                <w:szCs w:val="24"/>
                <w:lang w:eastAsia="en-GB"/>
              </w:rPr>
              <w:t>[ 0.813</w:t>
            </w:r>
            <w:proofErr w:type="gramEnd"/>
            <w:r w:rsidRPr="006C4A45">
              <w:rPr>
                <w:rFonts w:ascii="Times New Roman" w:eastAsia="Times New Roman" w:hAnsi="Times New Roman"/>
                <w:sz w:val="24"/>
                <w:szCs w:val="24"/>
                <w:lang w:eastAsia="en-GB"/>
              </w:rPr>
              <w:t>-1.165]</w:t>
            </w:r>
          </w:p>
        </w:tc>
      </w:tr>
    </w:tbl>
    <w:p w14:paraId="061DDC58" w14:textId="4596F6CC"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Обзор результатов по схеме лечения, использованной в исследовании RIETECAT среди завершивших 6 месяцев пациентов, представлен ниже:</w:t>
      </w:r>
    </w:p>
    <w:p w14:paraId="18042F12" w14:textId="429ABED0" w:rsidR="00317462" w:rsidRPr="006C4A45" w:rsidRDefault="00317462" w:rsidP="0031746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6C4A45">
        <w:rPr>
          <w:rFonts w:ascii="Times New Roman" w:eastAsia="Times New Roman" w:hAnsi="Times New Roman" w:cs="Times New Roman"/>
          <w:b/>
          <w:bCs/>
          <w:sz w:val="24"/>
          <w:szCs w:val="24"/>
          <w:lang w:eastAsia="en-GB"/>
        </w:rPr>
        <w:t>Таблица: 6-месячные результаты у пациентов, завершивших 6-месячное лечение, по разным схемам</w:t>
      </w:r>
    </w:p>
    <w:tbl>
      <w:tblPr>
        <w:tblStyle w:val="aa"/>
        <w:tblW w:w="0" w:type="auto"/>
        <w:tblLook w:val="04A0" w:firstRow="1" w:lastRow="0" w:firstColumn="1" w:lastColumn="0" w:noHBand="0" w:noVBand="1"/>
      </w:tblPr>
      <w:tblGrid>
        <w:gridCol w:w="1206"/>
        <w:gridCol w:w="1207"/>
        <w:gridCol w:w="1207"/>
        <w:gridCol w:w="1207"/>
        <w:gridCol w:w="1207"/>
        <w:gridCol w:w="1207"/>
        <w:gridCol w:w="1299"/>
        <w:gridCol w:w="747"/>
      </w:tblGrid>
      <w:tr w:rsidR="002E629E" w:rsidRPr="006C4A45" w14:paraId="15714322" w14:textId="77777777" w:rsidTr="002E629E">
        <w:tc>
          <w:tcPr>
            <w:tcW w:w="1206" w:type="dxa"/>
            <w:vMerge w:val="restart"/>
          </w:tcPr>
          <w:p w14:paraId="3E6B7D1D" w14:textId="77777777"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Результат</w:t>
            </w:r>
          </w:p>
          <w:p w14:paraId="3CABA797" w14:textId="77777777"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lastRenderedPageBreak/>
              <w:t>N (%)</w:t>
            </w:r>
          </w:p>
          <w:p w14:paraId="24897E35" w14:textId="20490E78" w:rsidR="002E629E" w:rsidRPr="006C4A45" w:rsidRDefault="002E629E"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(95% ДИ)</w:t>
            </w:r>
          </w:p>
        </w:tc>
        <w:tc>
          <w:tcPr>
            <w:tcW w:w="1207" w:type="dxa"/>
            <w:vMerge w:val="restart"/>
          </w:tcPr>
          <w:p w14:paraId="5C4D76E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lastRenderedPageBreak/>
              <w:t>Эноксапарин</w:t>
            </w:r>
            <w:proofErr w:type="spellEnd"/>
            <w:r w:rsidRPr="006C4A45">
              <w:rPr>
                <w:rFonts w:ascii="Times New Roman" w:eastAsia="Times New Roman" w:hAnsi="Times New Roman"/>
                <w:b/>
                <w:bCs/>
                <w:sz w:val="24"/>
                <w:szCs w:val="24"/>
                <w:lang w:eastAsia="en-GB"/>
              </w:rPr>
              <w:t xml:space="preserve"> все </w:t>
            </w:r>
            <w:r w:rsidRPr="006C4A45">
              <w:rPr>
                <w:rFonts w:ascii="Times New Roman" w:eastAsia="Times New Roman" w:hAnsi="Times New Roman"/>
                <w:b/>
                <w:bCs/>
                <w:sz w:val="24"/>
                <w:szCs w:val="24"/>
                <w:lang w:eastAsia="en-GB"/>
              </w:rPr>
              <w:lastRenderedPageBreak/>
              <w:t>схемы</w:t>
            </w:r>
          </w:p>
          <w:p w14:paraId="49BB6A5B" w14:textId="3E0F990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N=1432</w:t>
            </w:r>
          </w:p>
        </w:tc>
        <w:tc>
          <w:tcPr>
            <w:tcW w:w="1207" w:type="dxa"/>
          </w:tcPr>
          <w:p w14:paraId="35EBFA41" w14:textId="23F1A6C0"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lastRenderedPageBreak/>
              <w:t>Эноксапарин</w:t>
            </w:r>
            <w:proofErr w:type="spellEnd"/>
            <w:r w:rsidRPr="006C4A45">
              <w:rPr>
                <w:rFonts w:ascii="Times New Roman" w:eastAsia="Times New Roman" w:hAnsi="Times New Roman"/>
                <w:b/>
                <w:bCs/>
                <w:sz w:val="24"/>
                <w:szCs w:val="24"/>
                <w:lang w:eastAsia="en-GB"/>
              </w:rPr>
              <w:t xml:space="preserve"> все </w:t>
            </w:r>
            <w:r w:rsidRPr="006C4A45">
              <w:rPr>
                <w:rFonts w:ascii="Times New Roman" w:eastAsia="Times New Roman" w:hAnsi="Times New Roman"/>
                <w:b/>
                <w:bCs/>
                <w:sz w:val="24"/>
                <w:szCs w:val="24"/>
                <w:lang w:eastAsia="en-GB"/>
              </w:rPr>
              <w:lastRenderedPageBreak/>
              <w:t>схемы</w:t>
            </w:r>
          </w:p>
        </w:tc>
        <w:tc>
          <w:tcPr>
            <w:tcW w:w="1207" w:type="dxa"/>
          </w:tcPr>
          <w:p w14:paraId="38EC573F"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5DDBD83D"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56037985"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99" w:type="dxa"/>
          </w:tcPr>
          <w:p w14:paraId="5E59C998"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747" w:type="dxa"/>
          </w:tcPr>
          <w:p w14:paraId="3597A3BC"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r>
      <w:tr w:rsidR="002E629E" w:rsidRPr="006C4A45" w14:paraId="4B6D46B0" w14:textId="77777777" w:rsidTr="002E629E">
        <w:tc>
          <w:tcPr>
            <w:tcW w:w="1206" w:type="dxa"/>
            <w:vMerge/>
          </w:tcPr>
          <w:p w14:paraId="35292F0B"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vMerge/>
          </w:tcPr>
          <w:p w14:paraId="07FE7B9C"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32F463CD"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p>
          <w:p w14:paraId="38971CF1"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Один раз в день</w:t>
            </w:r>
          </w:p>
          <w:p w14:paraId="48D8D581" w14:textId="3E4EBFF3"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N=444</w:t>
            </w:r>
          </w:p>
        </w:tc>
        <w:tc>
          <w:tcPr>
            <w:tcW w:w="1207" w:type="dxa"/>
          </w:tcPr>
          <w:p w14:paraId="1CC4AF41"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два раза в день</w:t>
            </w:r>
          </w:p>
          <w:p w14:paraId="41839ACB" w14:textId="2162F889"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N=529</w:t>
            </w:r>
          </w:p>
        </w:tc>
        <w:tc>
          <w:tcPr>
            <w:tcW w:w="1207" w:type="dxa"/>
          </w:tcPr>
          <w:p w14:paraId="47C695D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с двух раз в день до одного раза в день</w:t>
            </w:r>
          </w:p>
          <w:p w14:paraId="70D62AEB" w14:textId="1F28F28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N=406</w:t>
            </w:r>
          </w:p>
        </w:tc>
        <w:tc>
          <w:tcPr>
            <w:tcW w:w="1207" w:type="dxa"/>
          </w:tcPr>
          <w:p w14:paraId="10BA53A9"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с одного до двух раз в день</w:t>
            </w:r>
          </w:p>
          <w:p w14:paraId="63397D05" w14:textId="79CA3079"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N=14</w:t>
            </w:r>
          </w:p>
        </w:tc>
        <w:tc>
          <w:tcPr>
            <w:tcW w:w="1299" w:type="dxa"/>
          </w:tcPr>
          <w:p w14:paraId="3B79173A" w14:textId="77777777"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roofErr w:type="spellStart"/>
            <w:proofErr w:type="gramStart"/>
            <w:r w:rsidRPr="006C4A45">
              <w:rPr>
                <w:rFonts w:ascii="Times New Roman" w:eastAsia="Times New Roman" w:hAnsi="Times New Roman"/>
                <w:b/>
                <w:bCs/>
                <w:sz w:val="24"/>
                <w:szCs w:val="24"/>
                <w:lang w:eastAsia="en-GB"/>
              </w:rPr>
              <w:t>Эноксапарин</w:t>
            </w:r>
            <w:proofErr w:type="spellEnd"/>
            <w:r w:rsidRPr="006C4A45">
              <w:rPr>
                <w:rFonts w:ascii="Times New Roman" w:eastAsia="Times New Roman" w:hAnsi="Times New Roman"/>
                <w:b/>
                <w:bCs/>
                <w:sz w:val="24"/>
                <w:szCs w:val="24"/>
                <w:lang w:eastAsia="en-GB"/>
              </w:rPr>
              <w:t xml:space="preserve"> Более</w:t>
            </w:r>
            <w:proofErr w:type="gramEnd"/>
            <w:r w:rsidRPr="006C4A45">
              <w:rPr>
                <w:rFonts w:ascii="Times New Roman" w:eastAsia="Times New Roman" w:hAnsi="Times New Roman"/>
                <w:b/>
                <w:bCs/>
                <w:sz w:val="24"/>
                <w:szCs w:val="24"/>
                <w:lang w:eastAsia="en-GB"/>
              </w:rPr>
              <w:t xml:space="preserve"> одного переключения</w:t>
            </w:r>
          </w:p>
          <w:p w14:paraId="2F7E0834" w14:textId="4962F121"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N=39</w:t>
            </w:r>
          </w:p>
        </w:tc>
        <w:tc>
          <w:tcPr>
            <w:tcW w:w="747" w:type="dxa"/>
          </w:tcPr>
          <w:p w14:paraId="110D6F23" w14:textId="1F029263" w:rsidR="002E629E" w:rsidRPr="006C4A45"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6C4A45">
              <w:rPr>
                <w:rFonts w:ascii="Times New Roman" w:eastAsia="Times New Roman" w:hAnsi="Times New Roman"/>
                <w:b/>
                <w:bCs/>
                <w:sz w:val="24"/>
                <w:szCs w:val="24"/>
                <w:lang w:eastAsia="en-GB"/>
              </w:rPr>
              <w:t>N=428</w:t>
            </w:r>
          </w:p>
        </w:tc>
      </w:tr>
      <w:tr w:rsidR="00317462" w:rsidRPr="006C4A45" w14:paraId="77952F1B" w14:textId="77777777" w:rsidTr="002E629E">
        <w:tc>
          <w:tcPr>
            <w:tcW w:w="1206" w:type="dxa"/>
          </w:tcPr>
          <w:p w14:paraId="3A3DB7E3" w14:textId="4E06EDD6"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Рецидив ВТЭ</w:t>
            </w:r>
          </w:p>
        </w:tc>
        <w:tc>
          <w:tcPr>
            <w:tcW w:w="1207" w:type="dxa"/>
          </w:tcPr>
          <w:p w14:paraId="1F3E8ED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70 (4.9%)</w:t>
            </w:r>
          </w:p>
          <w:p w14:paraId="3DFBCD8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CC45328" w14:textId="000805E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(3.8% – 6.0%)</w:t>
            </w:r>
          </w:p>
        </w:tc>
        <w:tc>
          <w:tcPr>
            <w:tcW w:w="1207" w:type="dxa"/>
          </w:tcPr>
          <w:p w14:paraId="41BCBFC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33 (7.4%)</w:t>
            </w:r>
          </w:p>
          <w:p w14:paraId="0115564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2B7219D" w14:textId="2A9BFC12"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(5.0% – 9.9%)</w:t>
            </w:r>
          </w:p>
        </w:tc>
        <w:tc>
          <w:tcPr>
            <w:tcW w:w="1207" w:type="dxa"/>
          </w:tcPr>
          <w:p w14:paraId="4658130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22 (4.2%)</w:t>
            </w:r>
          </w:p>
          <w:p w14:paraId="3BDDB96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6915616" w14:textId="441F369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(2.5% – 5.9%)</w:t>
            </w:r>
          </w:p>
        </w:tc>
        <w:tc>
          <w:tcPr>
            <w:tcW w:w="1207" w:type="dxa"/>
          </w:tcPr>
          <w:p w14:paraId="384A45E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10 (2.5%)</w:t>
            </w:r>
          </w:p>
          <w:p w14:paraId="1467748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0A03980" w14:textId="5FED08F9"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(0.9% – 4.0%)</w:t>
            </w:r>
          </w:p>
        </w:tc>
        <w:tc>
          <w:tcPr>
            <w:tcW w:w="1207" w:type="dxa"/>
          </w:tcPr>
          <w:p w14:paraId="13FCF4A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6A41532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DCA9D1E" w14:textId="6720AFE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2131053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(10.3%)</w:t>
            </w:r>
          </w:p>
          <w:p w14:paraId="70A11E5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0FA7BE4" w14:textId="7016AF6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(0.3% – 20.2%)</w:t>
            </w:r>
          </w:p>
        </w:tc>
        <w:tc>
          <w:tcPr>
            <w:tcW w:w="747" w:type="dxa"/>
          </w:tcPr>
          <w:p w14:paraId="6D9171D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(5.4%)</w:t>
            </w:r>
          </w:p>
          <w:p w14:paraId="7FC9F6B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46F9432" w14:textId="020B873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 – 7.5%)</w:t>
            </w:r>
          </w:p>
        </w:tc>
      </w:tr>
      <w:tr w:rsidR="00317462" w:rsidRPr="006C4A45" w14:paraId="42B39648" w14:textId="77777777" w:rsidTr="002E629E">
        <w:tc>
          <w:tcPr>
            <w:tcW w:w="1206" w:type="dxa"/>
          </w:tcPr>
          <w:p w14:paraId="313D2335" w14:textId="2ADFF4C6"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Сильное кровотечение (смертельное и не смертельное)</w:t>
            </w:r>
          </w:p>
        </w:tc>
        <w:tc>
          <w:tcPr>
            <w:tcW w:w="1207" w:type="dxa"/>
          </w:tcPr>
          <w:p w14:paraId="4EAB78E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111 (7.8%)</w:t>
            </w:r>
          </w:p>
          <w:p w14:paraId="234B4AD5"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17C8099" w14:textId="1A829756"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(6.4% – 9.1%)</w:t>
            </w:r>
          </w:p>
        </w:tc>
        <w:tc>
          <w:tcPr>
            <w:tcW w:w="1207" w:type="dxa"/>
          </w:tcPr>
          <w:p w14:paraId="1BAE5381"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 (7.0%)</w:t>
            </w:r>
          </w:p>
          <w:p w14:paraId="09C64F3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05E26F9" w14:textId="17D8975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(4.6% – 9.4%)</w:t>
            </w:r>
          </w:p>
        </w:tc>
        <w:tc>
          <w:tcPr>
            <w:tcW w:w="1207" w:type="dxa"/>
          </w:tcPr>
          <w:p w14:paraId="1EB330A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52 (9.8%)</w:t>
            </w:r>
          </w:p>
          <w:p w14:paraId="5B5D2EC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70A23E7" w14:textId="20D7B10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(7.3% – 12.4%)</w:t>
            </w:r>
          </w:p>
        </w:tc>
        <w:tc>
          <w:tcPr>
            <w:tcW w:w="1207" w:type="dxa"/>
          </w:tcPr>
          <w:p w14:paraId="51DC368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21 (5.2%)</w:t>
            </w:r>
          </w:p>
          <w:p w14:paraId="0825357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B104218" w14:textId="1681985C"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(3.0% – 7.3%)</w:t>
            </w:r>
          </w:p>
        </w:tc>
        <w:tc>
          <w:tcPr>
            <w:tcW w:w="1207" w:type="dxa"/>
          </w:tcPr>
          <w:p w14:paraId="50989BE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09A1146E"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9C438C9" w14:textId="039985F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6C31D44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(15.4%)</w:t>
            </w:r>
          </w:p>
          <w:p w14:paraId="4EAA07E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7C334FC" w14:textId="6BFE0DD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(3.5% – 27.2%)</w:t>
            </w:r>
          </w:p>
        </w:tc>
        <w:tc>
          <w:tcPr>
            <w:tcW w:w="747" w:type="dxa"/>
          </w:tcPr>
          <w:p w14:paraId="78EAD39E"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18 (4.2%)</w:t>
            </w:r>
          </w:p>
          <w:p w14:paraId="63C54E7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6D489B4" w14:textId="235FB44D"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 6.1%)</w:t>
            </w:r>
          </w:p>
        </w:tc>
      </w:tr>
      <w:tr w:rsidR="00317462" w:rsidRPr="006C4A45" w14:paraId="12BDAD48" w14:textId="77777777" w:rsidTr="002E629E">
        <w:tc>
          <w:tcPr>
            <w:tcW w:w="1206" w:type="dxa"/>
          </w:tcPr>
          <w:p w14:paraId="7E992477" w14:textId="66859A38"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Небольшие кровотечения, имеющие клиническое значение</w:t>
            </w:r>
          </w:p>
        </w:tc>
        <w:tc>
          <w:tcPr>
            <w:tcW w:w="1207" w:type="dxa"/>
          </w:tcPr>
          <w:p w14:paraId="1D7AEBD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87 (6.1%)</w:t>
            </w:r>
          </w:p>
          <w:p w14:paraId="0FB6BB3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418E10A" w14:textId="7038656C"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(4.8% – 7.3%)</w:t>
            </w:r>
          </w:p>
        </w:tc>
        <w:tc>
          <w:tcPr>
            <w:tcW w:w="1207" w:type="dxa"/>
          </w:tcPr>
          <w:p w14:paraId="6BCE4E6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26 (5.9%)</w:t>
            </w:r>
          </w:p>
          <w:p w14:paraId="64A3E29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97E278E" w14:textId="7E37EAC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(3.7% – 8.0%)</w:t>
            </w:r>
          </w:p>
        </w:tc>
        <w:tc>
          <w:tcPr>
            <w:tcW w:w="1207" w:type="dxa"/>
          </w:tcPr>
          <w:p w14:paraId="32C264D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33 (6.2%)</w:t>
            </w:r>
          </w:p>
          <w:p w14:paraId="66A323C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7C05424" w14:textId="1BA098C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(4.2% – 8.3%)</w:t>
            </w:r>
          </w:p>
        </w:tc>
        <w:tc>
          <w:tcPr>
            <w:tcW w:w="1207" w:type="dxa"/>
          </w:tcPr>
          <w:p w14:paraId="29399E7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23 (5.7%)</w:t>
            </w:r>
          </w:p>
          <w:p w14:paraId="2281937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 – 7.9%)</w:t>
            </w:r>
          </w:p>
          <w:p w14:paraId="0868D5F4" w14:textId="77777777" w:rsidR="00317462" w:rsidRPr="006C4A45"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1207" w:type="dxa"/>
          </w:tcPr>
          <w:p w14:paraId="045B0321"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(7.1%)</w:t>
            </w:r>
          </w:p>
          <w:p w14:paraId="3293B785"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8E4A232" w14:textId="67F43B7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22.6%)</w:t>
            </w:r>
          </w:p>
        </w:tc>
        <w:tc>
          <w:tcPr>
            <w:tcW w:w="1299" w:type="dxa"/>
          </w:tcPr>
          <w:p w14:paraId="31803ADA"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 (10.3%)</w:t>
            </w:r>
          </w:p>
          <w:p w14:paraId="1F5E854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62F269D" w14:textId="082BC498"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(0.3% – 20.2%)</w:t>
            </w:r>
          </w:p>
        </w:tc>
        <w:tc>
          <w:tcPr>
            <w:tcW w:w="747" w:type="dxa"/>
          </w:tcPr>
          <w:p w14:paraId="450E517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(5.6%)</w:t>
            </w:r>
          </w:p>
          <w:p w14:paraId="5157FE8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9E935B1" w14:textId="37CD232B"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 – 7.8%)</w:t>
            </w:r>
          </w:p>
        </w:tc>
      </w:tr>
      <w:tr w:rsidR="00317462" w:rsidRPr="006C4A45" w14:paraId="460352CD" w14:textId="77777777" w:rsidTr="002E629E">
        <w:tc>
          <w:tcPr>
            <w:tcW w:w="1206" w:type="dxa"/>
          </w:tcPr>
          <w:p w14:paraId="11AD5ECD" w14:textId="08F777D1"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Смерть от всех причин</w:t>
            </w:r>
          </w:p>
        </w:tc>
        <w:tc>
          <w:tcPr>
            <w:tcW w:w="1207" w:type="dxa"/>
          </w:tcPr>
          <w:p w14:paraId="0D0D70F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666 (46.5%)</w:t>
            </w:r>
          </w:p>
          <w:p w14:paraId="57B2ED1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31AA86D" w14:textId="063DC0BB"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(43.9% – 49.1%)</w:t>
            </w:r>
          </w:p>
        </w:tc>
        <w:tc>
          <w:tcPr>
            <w:tcW w:w="1207" w:type="dxa"/>
          </w:tcPr>
          <w:p w14:paraId="6355F13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175 (39.4%)</w:t>
            </w:r>
          </w:p>
          <w:p w14:paraId="7314511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0BC4226" w14:textId="6D7754A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(34.9% – 44.0%)</w:t>
            </w:r>
          </w:p>
        </w:tc>
        <w:tc>
          <w:tcPr>
            <w:tcW w:w="1207" w:type="dxa"/>
          </w:tcPr>
          <w:p w14:paraId="5844D26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323 (61.1%)</w:t>
            </w:r>
          </w:p>
          <w:p w14:paraId="63478B4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42A2DF" w14:textId="4AB74443"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(56.9% – 65.2%)</w:t>
            </w:r>
          </w:p>
        </w:tc>
        <w:tc>
          <w:tcPr>
            <w:tcW w:w="1207" w:type="dxa"/>
          </w:tcPr>
          <w:p w14:paraId="307EBE1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146 (36.0%)</w:t>
            </w:r>
          </w:p>
          <w:p w14:paraId="094ECDE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46EEA40" w14:textId="2F3CBE3A"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(31.3% – 40.6%)</w:t>
            </w:r>
          </w:p>
        </w:tc>
        <w:tc>
          <w:tcPr>
            <w:tcW w:w="1207" w:type="dxa"/>
          </w:tcPr>
          <w:p w14:paraId="76A4D0B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6 (42.9%)</w:t>
            </w:r>
          </w:p>
          <w:p w14:paraId="2BE7D6B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E1D7DA7" w14:textId="782438D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(13.2% – 72.5%)</w:t>
            </w:r>
          </w:p>
        </w:tc>
        <w:tc>
          <w:tcPr>
            <w:tcW w:w="1299" w:type="dxa"/>
          </w:tcPr>
          <w:p w14:paraId="62DCCEE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16 (41.0%)</w:t>
            </w:r>
          </w:p>
          <w:p w14:paraId="4BFA6030"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C6A6455" w14:textId="5F48FD55"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(24.9% – 57.2%)</w:t>
            </w:r>
          </w:p>
        </w:tc>
        <w:tc>
          <w:tcPr>
            <w:tcW w:w="747" w:type="dxa"/>
          </w:tcPr>
          <w:p w14:paraId="2576EC5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157 (36.7%)</w:t>
            </w:r>
          </w:p>
          <w:p w14:paraId="5E54C627"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897E39A" w14:textId="7542A121"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(32.1% – 41.3%)</w:t>
            </w:r>
          </w:p>
        </w:tc>
      </w:tr>
      <w:tr w:rsidR="00317462" w:rsidRPr="006C4A45" w14:paraId="6FF130B8" w14:textId="77777777" w:rsidTr="002E629E">
        <w:tc>
          <w:tcPr>
            <w:tcW w:w="1206" w:type="dxa"/>
          </w:tcPr>
          <w:p w14:paraId="088C63BC" w14:textId="742DD41D" w:rsidR="00317462" w:rsidRPr="006C4A45" w:rsidRDefault="002E629E"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Смерть от летальной ТЭЛА или смертельного кровотечения</w:t>
            </w:r>
          </w:p>
        </w:tc>
        <w:tc>
          <w:tcPr>
            <w:tcW w:w="1207" w:type="dxa"/>
          </w:tcPr>
          <w:p w14:paraId="0667EE8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48 (3.4%)</w:t>
            </w:r>
          </w:p>
          <w:p w14:paraId="5C3749DF"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CDACDEF" w14:textId="5019E81F"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(2.4% – 4.3%)</w:t>
            </w:r>
          </w:p>
        </w:tc>
        <w:tc>
          <w:tcPr>
            <w:tcW w:w="1207" w:type="dxa"/>
          </w:tcPr>
          <w:p w14:paraId="4B8B287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7 (1.6%)</w:t>
            </w:r>
          </w:p>
          <w:p w14:paraId="349C67D9"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11B0ADD" w14:textId="6F48CB0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(0.4% – 2.7%)</w:t>
            </w:r>
          </w:p>
        </w:tc>
        <w:tc>
          <w:tcPr>
            <w:tcW w:w="1207" w:type="dxa"/>
          </w:tcPr>
          <w:p w14:paraId="1D851836"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35 (6.6%)</w:t>
            </w:r>
          </w:p>
          <w:p w14:paraId="15FE99C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57C8D3D" w14:textId="635EFA34"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(4.5% – 8.7%)</w:t>
            </w:r>
          </w:p>
        </w:tc>
        <w:tc>
          <w:tcPr>
            <w:tcW w:w="1207" w:type="dxa"/>
          </w:tcPr>
          <w:p w14:paraId="783DAAC9"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5 (1.2%)</w:t>
            </w:r>
          </w:p>
          <w:p w14:paraId="70CDCED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643258A" w14:textId="2285D937"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(0.2% – 2.3%)</w:t>
            </w:r>
          </w:p>
        </w:tc>
        <w:tc>
          <w:tcPr>
            <w:tcW w:w="1207" w:type="dxa"/>
          </w:tcPr>
          <w:p w14:paraId="2418904B"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(0%)</w:t>
            </w:r>
          </w:p>
          <w:p w14:paraId="5D645BD8"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9040ACD" w14:textId="6E245C0F"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w:t>
            </w:r>
          </w:p>
        </w:tc>
        <w:tc>
          <w:tcPr>
            <w:tcW w:w="1299" w:type="dxa"/>
          </w:tcPr>
          <w:p w14:paraId="4C08BBBD"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 (2.6%)</w:t>
            </w:r>
          </w:p>
          <w:p w14:paraId="06172F22"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B1F5B59" w14:textId="4277ED4A"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(0% – 7.8%)</w:t>
            </w:r>
          </w:p>
        </w:tc>
        <w:tc>
          <w:tcPr>
            <w:tcW w:w="747" w:type="dxa"/>
          </w:tcPr>
          <w:p w14:paraId="78612734"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(2.6%)</w:t>
            </w:r>
          </w:p>
          <w:p w14:paraId="4229FF3C" w14:textId="77777777" w:rsidR="002E629E"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D004F5B" w14:textId="603178B0" w:rsidR="00317462" w:rsidRPr="006C4A45"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6C4A45">
              <w:rPr>
                <w:rFonts w:ascii="Times New Roman" w:eastAsia="Times New Roman" w:hAnsi="Times New Roman"/>
                <w:sz w:val="24"/>
                <w:szCs w:val="24"/>
                <w:lang w:eastAsia="en-GB"/>
              </w:rPr>
              <w:t>(1.1% – 4.1%)</w:t>
            </w:r>
          </w:p>
        </w:tc>
      </w:tr>
    </w:tbl>
    <w:p w14:paraId="1CE208B6" w14:textId="1E909E38" w:rsidR="00EA0157" w:rsidRPr="006C4A45" w:rsidRDefault="002E629E"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*Все данные с 95% доверительным интервалом.</w:t>
      </w:r>
    </w:p>
    <w:p w14:paraId="3F324409" w14:textId="4998F681" w:rsidR="000559DC" w:rsidRPr="006C4A45" w:rsidRDefault="000559DC" w:rsidP="000559DC">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Терапия нестабильной стенокардии и инфаркта миокарда без подъема сегмента ST</w:t>
      </w:r>
    </w:p>
    <w:p w14:paraId="0090F932" w14:textId="3BD38E26" w:rsidR="000559DC" w:rsidRPr="006C4A45" w:rsidRDefault="000559DC" w:rsidP="000559D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В крупном многоцентровом исследовании 3171 пациент с  острой фазой нестабильной стенокардии или инфаркта миокарда без зубца Q, были рандомизированы для получения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100 МЕ/кг (1 мг/кг) каждые 12 часов в сочетании с ацетилсалициловой кислотой (100–325 мг один раз в день) либо подкожного, либо внутривенного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скорректированного на основе АЧТВ. Пациенты должны были находиться на лечении в больнице не менее 2 дней и не более 8 дней до стабилизации клинического состояния, процедур </w:t>
      </w:r>
      <w:proofErr w:type="spellStart"/>
      <w:r w:rsidRPr="006C4A45">
        <w:rPr>
          <w:rFonts w:ascii="Times New Roman" w:eastAsia="Times New Roman" w:hAnsi="Times New Roman" w:cs="Times New Roman"/>
          <w:sz w:val="24"/>
          <w:szCs w:val="24"/>
          <w:lang w:eastAsia="en-GB"/>
        </w:rPr>
        <w:t>реваскуляризации</w:t>
      </w:r>
      <w:proofErr w:type="spellEnd"/>
      <w:r w:rsidRPr="006C4A45">
        <w:rPr>
          <w:rFonts w:ascii="Times New Roman" w:eastAsia="Times New Roman" w:hAnsi="Times New Roman" w:cs="Times New Roman"/>
          <w:sz w:val="24"/>
          <w:szCs w:val="24"/>
          <w:lang w:eastAsia="en-GB"/>
        </w:rPr>
        <w:t xml:space="preserve"> или выписки из больницы. Пациенты должны были находиться под наблюдением до 30 дней. По сравнению с гепарином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значительно снизил комбинированную частоту стенокардии, инфаркта миокарда и смертности, снизившись с 19,8 до 16,6% (относительное снижение риска на 16,2%) на 14-й день. Это снижение комбинированной частоты сохранялось через 30 дней (с 23,3 до 19,8%; относительное снижение риска на 15%).</w:t>
      </w:r>
    </w:p>
    <w:p w14:paraId="5EDFEE25" w14:textId="7ACE42A5" w:rsidR="002E629E" w:rsidRPr="006C4A45" w:rsidRDefault="000559DC" w:rsidP="000559D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Существенных различий в обширных кровотечениях выявлено не было, однако кровотечение в месте подкожной инъекции наблюдалось чаще.</w:t>
      </w:r>
    </w:p>
    <w:p w14:paraId="2372E85C" w14:textId="27B8DA92"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Лечение острого инфаркта миокарда с подъемом сегмента ST</w:t>
      </w:r>
    </w:p>
    <w:p w14:paraId="55DFB3FE" w14:textId="6FB3F1C2"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В крупном многоцентровом исследовании 20 479 пациентов с острым инфарктом миокарда с подъемом сегмента ST, которым была показана </w:t>
      </w:r>
      <w:proofErr w:type="spellStart"/>
      <w:r w:rsidRPr="006C4A45">
        <w:rPr>
          <w:rFonts w:ascii="Times New Roman" w:eastAsia="Times New Roman" w:hAnsi="Times New Roman" w:cs="Times New Roman"/>
          <w:sz w:val="24"/>
          <w:szCs w:val="24"/>
          <w:lang w:eastAsia="en-GB"/>
        </w:rPr>
        <w:t>фибринолитическая</w:t>
      </w:r>
      <w:proofErr w:type="spellEnd"/>
      <w:r w:rsidRPr="006C4A45">
        <w:rPr>
          <w:rFonts w:ascii="Times New Roman" w:eastAsia="Times New Roman" w:hAnsi="Times New Roman" w:cs="Times New Roman"/>
          <w:sz w:val="24"/>
          <w:szCs w:val="24"/>
          <w:lang w:eastAsia="en-GB"/>
        </w:rPr>
        <w:t xml:space="preserve"> терапия, были рандомизированы для получения либо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в виде однократного внутривенного болюса 3000 МЕ (30 мг) плюс 100 МЕ/кг (1 мг/кг) подкожной дозы с последующей подкожной инъекцией 100 МЕ/кг (1 мг/кг) каждые 12 часов, либо внутривенного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скорректированного на основе АЧТВ в течение 48 часов. Все пациенты также получали ацетилсалициловую кислоту в течение как минимум 30 дней. Стратегия дозирования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была скорректирована для пациентов с тяжелой почечной недостаточностью и для пожилых людей в возрасте не менее 75 лет. Подкожные инъекции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проводились до выписки из больницы или в течение максимум восьми дней (в зависимости от того, что наступит раньше).</w:t>
      </w:r>
    </w:p>
    <w:p w14:paraId="00F743B1" w14:textId="6267C065"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4716 пациентов перенесли </w:t>
      </w:r>
      <w:proofErr w:type="spellStart"/>
      <w:r w:rsidRPr="006C4A45">
        <w:rPr>
          <w:rFonts w:ascii="Times New Roman" w:eastAsia="Times New Roman" w:hAnsi="Times New Roman" w:cs="Times New Roman"/>
          <w:sz w:val="24"/>
          <w:szCs w:val="24"/>
          <w:lang w:eastAsia="en-GB"/>
        </w:rPr>
        <w:t>чрескожное</w:t>
      </w:r>
      <w:proofErr w:type="spellEnd"/>
      <w:r w:rsidRPr="006C4A45">
        <w:rPr>
          <w:rFonts w:ascii="Times New Roman" w:eastAsia="Times New Roman" w:hAnsi="Times New Roman" w:cs="Times New Roman"/>
          <w:sz w:val="24"/>
          <w:szCs w:val="24"/>
          <w:lang w:eastAsia="en-GB"/>
        </w:rPr>
        <w:t xml:space="preserve"> коронарное вмешательство, получая </w:t>
      </w:r>
      <w:proofErr w:type="spellStart"/>
      <w:r w:rsidRPr="006C4A45">
        <w:rPr>
          <w:rFonts w:ascii="Times New Roman" w:eastAsia="Times New Roman" w:hAnsi="Times New Roman" w:cs="Times New Roman"/>
          <w:sz w:val="24"/>
          <w:szCs w:val="24"/>
          <w:lang w:eastAsia="en-GB"/>
        </w:rPr>
        <w:t>антитромботическую</w:t>
      </w:r>
      <w:proofErr w:type="spellEnd"/>
      <w:r w:rsidRPr="006C4A45">
        <w:rPr>
          <w:rFonts w:ascii="Times New Roman" w:eastAsia="Times New Roman" w:hAnsi="Times New Roman" w:cs="Times New Roman"/>
          <w:sz w:val="24"/>
          <w:szCs w:val="24"/>
          <w:lang w:eastAsia="en-GB"/>
        </w:rPr>
        <w:t xml:space="preserve"> поддержку с помощью слепого исследуемого препарата. Таким образом, для пациентов, принимающих </w:t>
      </w: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ЧКВ должно было проводиться на </w:t>
      </w:r>
      <w:proofErr w:type="spellStart"/>
      <w:r w:rsidRPr="006C4A45">
        <w:rPr>
          <w:rFonts w:ascii="Times New Roman" w:eastAsia="Times New Roman" w:hAnsi="Times New Roman" w:cs="Times New Roman"/>
          <w:sz w:val="24"/>
          <w:szCs w:val="24"/>
          <w:lang w:eastAsia="en-GB"/>
        </w:rPr>
        <w:t>эноксапарине</w:t>
      </w:r>
      <w:proofErr w:type="spellEnd"/>
      <w:r w:rsidRPr="006C4A45">
        <w:rPr>
          <w:rFonts w:ascii="Times New Roman" w:eastAsia="Times New Roman" w:hAnsi="Times New Roman" w:cs="Times New Roman"/>
          <w:sz w:val="24"/>
          <w:szCs w:val="24"/>
          <w:lang w:eastAsia="en-GB"/>
        </w:rPr>
        <w:t xml:space="preserve"> натрия (без переключения) с использованием режима, установленного в предыдущих исследованиях, т. е. без дополнительного дозирования, если последнее подкожное введение было проведено менее чем за 8 часов до надувания баллона, внутривенный болюс 30 МЕ/кг (0,3 мг/кг)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если последнее подкожное введение было проведено более чем за 8 часов до надувания баллона.</w:t>
      </w:r>
    </w:p>
    <w:p w14:paraId="14E5A634" w14:textId="54B87163"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spellStart"/>
      <w:r w:rsidRPr="006C4A45">
        <w:rPr>
          <w:rFonts w:ascii="Times New Roman" w:eastAsia="Times New Roman" w:hAnsi="Times New Roman" w:cs="Times New Roman"/>
          <w:sz w:val="24"/>
          <w:szCs w:val="24"/>
          <w:lang w:eastAsia="en-GB"/>
        </w:rPr>
        <w:t>Эноксапарин</w:t>
      </w:r>
      <w:proofErr w:type="spellEnd"/>
      <w:r w:rsidRPr="006C4A45">
        <w:rPr>
          <w:rFonts w:ascii="Times New Roman" w:eastAsia="Times New Roman" w:hAnsi="Times New Roman" w:cs="Times New Roman"/>
          <w:sz w:val="24"/>
          <w:szCs w:val="24"/>
          <w:lang w:eastAsia="en-GB"/>
        </w:rPr>
        <w:t xml:space="preserve"> натрия по сравнению с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значительно снизил частоту первичной конечной точки, составной части смерти от любой причины или повторного инфаркта миокарда в течение первых 30 дней после рандомизации [9,9 процента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по сравнению с 12,0 процентами в группе </w:t>
      </w:r>
      <w:proofErr w:type="spellStart"/>
      <w:r w:rsidRPr="006C4A45">
        <w:rPr>
          <w:rFonts w:ascii="Times New Roman" w:eastAsia="Times New Roman" w:hAnsi="Times New Roman" w:cs="Times New Roman"/>
          <w:sz w:val="24"/>
          <w:szCs w:val="24"/>
          <w:lang w:eastAsia="en-GB"/>
        </w:rPr>
        <w:t>нефракционированного</w:t>
      </w:r>
      <w:proofErr w:type="spellEnd"/>
      <w:r w:rsidRPr="006C4A45">
        <w:rPr>
          <w:rFonts w:ascii="Times New Roman" w:eastAsia="Times New Roman" w:hAnsi="Times New Roman" w:cs="Times New Roman"/>
          <w:sz w:val="24"/>
          <w:szCs w:val="24"/>
          <w:lang w:eastAsia="en-GB"/>
        </w:rPr>
        <w:t xml:space="preserve"> гепарина] с 17-процентным снижением относительного риска (p </w:t>
      </w:r>
      <w:proofErr w:type="gramStart"/>
      <w:r w:rsidRPr="006C4A45">
        <w:rPr>
          <w:rFonts w:ascii="Times New Roman" w:eastAsia="Times New Roman" w:hAnsi="Times New Roman" w:cs="Times New Roman"/>
          <w:sz w:val="24"/>
          <w:szCs w:val="24"/>
          <w:lang w:eastAsia="en-GB"/>
        </w:rPr>
        <w:t>&lt; 0,001</w:t>
      </w:r>
      <w:proofErr w:type="gramEnd"/>
      <w:r w:rsidRPr="006C4A45">
        <w:rPr>
          <w:rFonts w:ascii="Times New Roman" w:eastAsia="Times New Roman" w:hAnsi="Times New Roman" w:cs="Times New Roman"/>
          <w:sz w:val="24"/>
          <w:szCs w:val="24"/>
          <w:lang w:eastAsia="en-GB"/>
        </w:rPr>
        <w:t>).</w:t>
      </w:r>
    </w:p>
    <w:p w14:paraId="654E8753" w14:textId="414CC4D9" w:rsidR="00586259" w:rsidRPr="006C4A45" w:rsidRDefault="00586259" w:rsidP="0058625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Преимущества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очевидные по ряду показателей эффективности, проявились через 48 часов, когда наблюдалось 35-процентное снижение относительного риска повторного инфаркта миокарда по сравнению с лечением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(p </w:t>
      </w:r>
      <w:proofErr w:type="gramStart"/>
      <w:r w:rsidRPr="006C4A45">
        <w:rPr>
          <w:rFonts w:ascii="Times New Roman" w:eastAsia="Times New Roman" w:hAnsi="Times New Roman" w:cs="Times New Roman"/>
          <w:sz w:val="24"/>
          <w:szCs w:val="24"/>
          <w:lang w:eastAsia="en-GB"/>
        </w:rPr>
        <w:t>&lt; 0,001</w:t>
      </w:r>
      <w:proofErr w:type="gramEnd"/>
      <w:r w:rsidRPr="006C4A45">
        <w:rPr>
          <w:rFonts w:ascii="Times New Roman" w:eastAsia="Times New Roman" w:hAnsi="Times New Roman" w:cs="Times New Roman"/>
          <w:sz w:val="24"/>
          <w:szCs w:val="24"/>
          <w:lang w:eastAsia="en-GB"/>
        </w:rPr>
        <w:t>).</w:t>
      </w:r>
    </w:p>
    <w:p w14:paraId="4CD9A71D" w14:textId="546B8FAB"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Благоприятное воздействие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 первичную конечную точку было постоянным во всех ключевых подгруппах, включая возраст, пол, локализацию инфаркта, историю диабета, историю предшествующего инфаркта миокарда, тип назначенного </w:t>
      </w:r>
      <w:proofErr w:type="spellStart"/>
      <w:r w:rsidRPr="006C4A45">
        <w:rPr>
          <w:rFonts w:ascii="Times New Roman" w:eastAsia="Times New Roman" w:hAnsi="Times New Roman" w:cs="Times New Roman"/>
          <w:sz w:val="24"/>
          <w:szCs w:val="24"/>
          <w:lang w:eastAsia="en-GB"/>
        </w:rPr>
        <w:t>фибринолитика</w:t>
      </w:r>
      <w:proofErr w:type="spellEnd"/>
      <w:r w:rsidRPr="006C4A45">
        <w:rPr>
          <w:rFonts w:ascii="Times New Roman" w:eastAsia="Times New Roman" w:hAnsi="Times New Roman" w:cs="Times New Roman"/>
          <w:sz w:val="24"/>
          <w:szCs w:val="24"/>
          <w:lang w:eastAsia="en-GB"/>
        </w:rPr>
        <w:t xml:space="preserve"> и время до начала лечения исследуемым препаратом.</w:t>
      </w:r>
    </w:p>
    <w:p w14:paraId="20D83C50" w14:textId="3D736FA8"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lastRenderedPageBreak/>
        <w:t xml:space="preserve">Было отмечено значительное преимущество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по сравнению с </w:t>
      </w:r>
      <w:proofErr w:type="spellStart"/>
      <w:r w:rsidRPr="006C4A45">
        <w:rPr>
          <w:rFonts w:ascii="Times New Roman" w:eastAsia="Times New Roman" w:hAnsi="Times New Roman" w:cs="Times New Roman"/>
          <w:sz w:val="24"/>
          <w:szCs w:val="24"/>
          <w:lang w:eastAsia="en-GB"/>
        </w:rPr>
        <w:t>нефракционированным</w:t>
      </w:r>
      <w:proofErr w:type="spellEnd"/>
      <w:r w:rsidRPr="006C4A45">
        <w:rPr>
          <w:rFonts w:ascii="Times New Roman" w:eastAsia="Times New Roman" w:hAnsi="Times New Roman" w:cs="Times New Roman"/>
          <w:sz w:val="24"/>
          <w:szCs w:val="24"/>
          <w:lang w:eastAsia="en-GB"/>
        </w:rPr>
        <w:t xml:space="preserve"> гепарином у пациентов, перенесших </w:t>
      </w:r>
      <w:proofErr w:type="spellStart"/>
      <w:r w:rsidRPr="006C4A45">
        <w:rPr>
          <w:rFonts w:ascii="Times New Roman" w:eastAsia="Times New Roman" w:hAnsi="Times New Roman" w:cs="Times New Roman"/>
          <w:sz w:val="24"/>
          <w:szCs w:val="24"/>
          <w:lang w:eastAsia="en-GB"/>
        </w:rPr>
        <w:t>чрескожное</w:t>
      </w:r>
      <w:proofErr w:type="spellEnd"/>
      <w:r w:rsidRPr="006C4A45">
        <w:rPr>
          <w:rFonts w:ascii="Times New Roman" w:eastAsia="Times New Roman" w:hAnsi="Times New Roman" w:cs="Times New Roman"/>
          <w:sz w:val="24"/>
          <w:szCs w:val="24"/>
          <w:lang w:eastAsia="en-GB"/>
        </w:rPr>
        <w:t xml:space="preserve"> коронарное вмешательство в течение 30 дней после рандомизации (снижение относительного риска на 23 процента) или проходивших медикаментозное лечение (снижение относительного риска на 15 процентов, p=0,27 для взаимодействия).</w:t>
      </w:r>
    </w:p>
    <w:p w14:paraId="517D1296" w14:textId="108F6663"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Частота 30-дневной составной конечной точки смерти, повторного инфаркта миокарда или внутричерепного кровоизлияния (мера чистой клинической пользы) была значительно ниже (p </w:t>
      </w:r>
      <w:proofErr w:type="gramStart"/>
      <w:r w:rsidRPr="006C4A45">
        <w:rPr>
          <w:rFonts w:ascii="Times New Roman" w:eastAsia="Times New Roman" w:hAnsi="Times New Roman" w:cs="Times New Roman"/>
          <w:sz w:val="24"/>
          <w:szCs w:val="24"/>
          <w:lang w:eastAsia="en-GB"/>
        </w:rPr>
        <w:t>&lt; 0</w:t>
      </w:r>
      <w:proofErr w:type="gramEnd"/>
      <w:r w:rsidRPr="006C4A45">
        <w:rPr>
          <w:rFonts w:ascii="Times New Roman" w:eastAsia="Times New Roman" w:hAnsi="Times New Roman" w:cs="Times New Roman"/>
          <w:sz w:val="24"/>
          <w:szCs w:val="24"/>
          <w:lang w:eastAsia="en-GB"/>
        </w:rPr>
        <w:t xml:space="preserve">,0001)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(10,1%) по сравнению с группой гепарина (12,2%), что представляет собой 17%-</w:t>
      </w:r>
      <w:proofErr w:type="spellStart"/>
      <w:r w:rsidRPr="006C4A45">
        <w:rPr>
          <w:rFonts w:ascii="Times New Roman" w:eastAsia="Times New Roman" w:hAnsi="Times New Roman" w:cs="Times New Roman"/>
          <w:sz w:val="24"/>
          <w:szCs w:val="24"/>
          <w:lang w:eastAsia="en-GB"/>
        </w:rPr>
        <w:t>ное</w:t>
      </w:r>
      <w:proofErr w:type="spellEnd"/>
      <w:r w:rsidRPr="006C4A45">
        <w:rPr>
          <w:rFonts w:ascii="Times New Roman" w:eastAsia="Times New Roman" w:hAnsi="Times New Roman" w:cs="Times New Roman"/>
          <w:sz w:val="24"/>
          <w:szCs w:val="24"/>
          <w:lang w:eastAsia="en-GB"/>
        </w:rPr>
        <w:t xml:space="preserve"> снижение относительного риска в пользу лечения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w:t>
      </w:r>
    </w:p>
    <w:p w14:paraId="752091D5" w14:textId="68579C16"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Частота возникновения крупных кровотечений в течение 30 дней была значительно выше (p </w:t>
      </w:r>
      <w:proofErr w:type="gramStart"/>
      <w:r w:rsidRPr="006C4A45">
        <w:rPr>
          <w:rFonts w:ascii="Times New Roman" w:eastAsia="Times New Roman" w:hAnsi="Times New Roman" w:cs="Times New Roman"/>
          <w:sz w:val="24"/>
          <w:szCs w:val="24"/>
          <w:lang w:eastAsia="en-GB"/>
        </w:rPr>
        <w:t>&lt; 0</w:t>
      </w:r>
      <w:proofErr w:type="gramEnd"/>
      <w:r w:rsidRPr="006C4A45">
        <w:rPr>
          <w:rFonts w:ascii="Times New Roman" w:eastAsia="Times New Roman" w:hAnsi="Times New Roman" w:cs="Times New Roman"/>
          <w:sz w:val="24"/>
          <w:szCs w:val="24"/>
          <w:lang w:eastAsia="en-GB"/>
        </w:rPr>
        <w:t xml:space="preserve">,0001)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(2,1%) по сравнению с группой гепарина (1,4%). В группе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наблюдалась более высокая частота желудочно-кишечных кровотечений (0,5%) по сравнению с группой гепарина (0,1%), в то время как частота возникновения внутричерепных кровоизлияний была одинаковой в обеих группах (0,8% с </w:t>
      </w:r>
      <w:proofErr w:type="spellStart"/>
      <w:r w:rsidRPr="006C4A45">
        <w:rPr>
          <w:rFonts w:ascii="Times New Roman" w:eastAsia="Times New Roman" w:hAnsi="Times New Roman" w:cs="Times New Roman"/>
          <w:sz w:val="24"/>
          <w:szCs w:val="24"/>
          <w:lang w:eastAsia="en-GB"/>
        </w:rPr>
        <w:t>эноксапарином</w:t>
      </w:r>
      <w:proofErr w:type="spellEnd"/>
      <w:r w:rsidRPr="006C4A45">
        <w:rPr>
          <w:rFonts w:ascii="Times New Roman" w:eastAsia="Times New Roman" w:hAnsi="Times New Roman" w:cs="Times New Roman"/>
          <w:sz w:val="24"/>
          <w:szCs w:val="24"/>
          <w:lang w:eastAsia="en-GB"/>
        </w:rPr>
        <w:t xml:space="preserve"> натрия по сравнению с 0,7% с гепарином).</w:t>
      </w:r>
    </w:p>
    <w:p w14:paraId="392890B9" w14:textId="7D878E50" w:rsidR="00586259"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Положительный эффект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на первичную конечную точку, наблюдавшийся в течение первых 30 дней, сохранялся в течение 12-месячного периода наблюдения.</w:t>
      </w:r>
    </w:p>
    <w:p w14:paraId="65C4DA51" w14:textId="35ABF550"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6C4A45">
        <w:rPr>
          <w:rFonts w:ascii="Times New Roman" w:eastAsia="Times New Roman" w:hAnsi="Times New Roman" w:cs="Times New Roman"/>
          <w:i/>
          <w:iCs/>
          <w:sz w:val="24"/>
          <w:szCs w:val="24"/>
          <w:lang w:eastAsia="en-GB"/>
        </w:rPr>
        <w:t>Печеночная недостаточность</w:t>
      </w:r>
    </w:p>
    <w:p w14:paraId="5AFD96E5" w14:textId="0BF7CCD8" w:rsidR="000559DC"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6C4A45">
        <w:rPr>
          <w:rFonts w:ascii="Times New Roman" w:eastAsia="Times New Roman" w:hAnsi="Times New Roman" w:cs="Times New Roman"/>
          <w:sz w:val="24"/>
          <w:szCs w:val="24"/>
          <w:lang w:eastAsia="en-GB"/>
        </w:rPr>
        <w:t xml:space="preserve">На основании литературных данных применение </w:t>
      </w:r>
      <w:proofErr w:type="spellStart"/>
      <w:r w:rsidRPr="006C4A45">
        <w:rPr>
          <w:rFonts w:ascii="Times New Roman" w:eastAsia="Times New Roman" w:hAnsi="Times New Roman" w:cs="Times New Roman"/>
          <w:sz w:val="24"/>
          <w:szCs w:val="24"/>
          <w:lang w:eastAsia="en-GB"/>
        </w:rPr>
        <w:t>эноксапарина</w:t>
      </w:r>
      <w:proofErr w:type="spellEnd"/>
      <w:r w:rsidRPr="006C4A45">
        <w:rPr>
          <w:rFonts w:ascii="Times New Roman" w:eastAsia="Times New Roman" w:hAnsi="Times New Roman" w:cs="Times New Roman"/>
          <w:sz w:val="24"/>
          <w:szCs w:val="24"/>
          <w:lang w:eastAsia="en-GB"/>
        </w:rPr>
        <w:t xml:space="preserve"> натрия 4000 МЕ (40 мг) у пациентов с циррозом (класс B-C по Чайлд-Пью) представляется безопасным и эффективным для профилактики тромбоза воротной вены. Следует отметить, что литературные исследования могут иметь ограничения. Следует соблюдать осторожность у пациентов с печеночной недостаточностью, поскольку у этих пациентов повышен риск кровотечения (см. раздел 4.4), а формальных исследований по определению дозы у пациентов с циррозом (класс A, B или C по Чайлд-Пью) не проводилось.</w:t>
      </w:r>
    </w:p>
    <w:p w14:paraId="3C7A2A0C" w14:textId="77777777"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0B8AD4B"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5.</w:t>
      </w:r>
      <w:r w:rsidR="00B56A91" w:rsidRPr="006C4A45">
        <w:rPr>
          <w:rFonts w:ascii="Times New Roman" w:hAnsi="Times New Roman" w:cs="Times New Roman"/>
          <w:b/>
          <w:sz w:val="24"/>
          <w:szCs w:val="24"/>
        </w:rPr>
        <w:t>2. Фармакокинетические свойства</w:t>
      </w:r>
    </w:p>
    <w:p w14:paraId="27DCFDCC"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color w:val="000000"/>
          <w:sz w:val="24"/>
          <w:szCs w:val="24"/>
          <w:lang w:eastAsia="ru-RU"/>
        </w:rPr>
        <w:t xml:space="preserve">Фармакокинетические параметры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оценивались на основании временной динамики анти-</w:t>
      </w:r>
      <w:r w:rsidRPr="006C4A45">
        <w:rPr>
          <w:rFonts w:ascii="Times New Roman" w:eastAsia="Times New Roman" w:hAnsi="Times New Roman" w:cs="Times New Roman"/>
          <w:color w:val="000000"/>
          <w:sz w:val="24"/>
          <w:szCs w:val="24"/>
          <w:lang w:val="en-US" w:eastAsia="ru-RU"/>
        </w:rPr>
        <w:t>X</w:t>
      </w:r>
      <w:r w:rsidRPr="006C4A45">
        <w:rPr>
          <w:rFonts w:ascii="Times New Roman" w:eastAsia="Times New Roman" w:hAnsi="Times New Roman" w:cs="Times New Roman"/>
          <w:color w:val="000000"/>
          <w:sz w:val="24"/>
          <w:szCs w:val="24"/>
          <w:lang w:eastAsia="ru-RU"/>
        </w:rPr>
        <w:t xml:space="preserve"> и 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активности в плазме при рекомендуемых дозах (</w:t>
      </w:r>
      <w:proofErr w:type="spellStart"/>
      <w:r w:rsidRPr="006C4A45">
        <w:rPr>
          <w:rFonts w:ascii="Times New Roman" w:eastAsia="Times New Roman" w:hAnsi="Times New Roman" w:cs="Times New Roman"/>
          <w:color w:val="000000"/>
          <w:sz w:val="24"/>
          <w:szCs w:val="24"/>
          <w:lang w:eastAsia="ru-RU"/>
        </w:rPr>
        <w:t>валидированные</w:t>
      </w:r>
      <w:proofErr w:type="spellEnd"/>
      <w:r w:rsidRPr="006C4A45">
        <w:rPr>
          <w:rFonts w:ascii="Times New Roman" w:eastAsia="Times New Roman" w:hAnsi="Times New Roman" w:cs="Times New Roman"/>
          <w:color w:val="000000"/>
          <w:sz w:val="24"/>
          <w:szCs w:val="24"/>
          <w:lang w:eastAsia="ru-RU"/>
        </w:rPr>
        <w:t xml:space="preserve"> </w:t>
      </w:r>
      <w:proofErr w:type="spellStart"/>
      <w:r w:rsidRPr="006C4A45">
        <w:rPr>
          <w:rFonts w:ascii="Times New Roman" w:eastAsia="Times New Roman" w:hAnsi="Times New Roman" w:cs="Times New Roman"/>
          <w:color w:val="000000"/>
          <w:sz w:val="24"/>
          <w:szCs w:val="24"/>
          <w:lang w:eastAsia="ru-RU"/>
        </w:rPr>
        <w:t>амидолитические</w:t>
      </w:r>
      <w:proofErr w:type="spellEnd"/>
      <w:r w:rsidRPr="006C4A45">
        <w:rPr>
          <w:rFonts w:ascii="Times New Roman" w:eastAsia="Times New Roman" w:hAnsi="Times New Roman" w:cs="Times New Roman"/>
          <w:color w:val="000000"/>
          <w:sz w:val="24"/>
          <w:szCs w:val="24"/>
          <w:lang w:eastAsia="ru-RU"/>
        </w:rPr>
        <w:t xml:space="preserve"> методы) после однократных и повторных подкожных введений препарата, и после однократной внутривенной инъекции. </w:t>
      </w:r>
      <w:r w:rsidRPr="006C4A45">
        <w:rPr>
          <w:rFonts w:ascii="Times New Roman" w:eastAsia="Times New Roman" w:hAnsi="Times New Roman" w:cs="Times New Roman"/>
          <w:sz w:val="24"/>
          <w:szCs w:val="24"/>
          <w:lang w:eastAsia="hu-HU"/>
        </w:rPr>
        <w:t>Количественное определение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и анти-</w:t>
      </w:r>
      <w:proofErr w:type="spellStart"/>
      <w:r w:rsidRPr="006C4A45">
        <w:rPr>
          <w:rFonts w:ascii="Times New Roman" w:eastAsia="Times New Roman" w:hAnsi="Times New Roman" w:cs="Times New Roman"/>
          <w:sz w:val="24"/>
          <w:szCs w:val="24"/>
          <w:lang w:eastAsia="hu-HU"/>
        </w:rPr>
        <w:t>IIa</w:t>
      </w:r>
      <w:proofErr w:type="spellEnd"/>
      <w:r w:rsidRPr="006C4A45">
        <w:rPr>
          <w:rFonts w:ascii="Times New Roman" w:eastAsia="Times New Roman" w:hAnsi="Times New Roman" w:cs="Times New Roman"/>
          <w:sz w:val="24"/>
          <w:szCs w:val="24"/>
          <w:lang w:eastAsia="hu-HU"/>
        </w:rPr>
        <w:t xml:space="preserve"> фармакокинетической активности проводилось </w:t>
      </w:r>
      <w:proofErr w:type="spellStart"/>
      <w:r w:rsidRPr="006C4A45">
        <w:rPr>
          <w:rFonts w:ascii="Times New Roman" w:eastAsia="Times New Roman" w:hAnsi="Times New Roman" w:cs="Times New Roman"/>
          <w:sz w:val="24"/>
          <w:szCs w:val="24"/>
          <w:lang w:eastAsia="hu-HU"/>
        </w:rPr>
        <w:t>валидированными</w:t>
      </w:r>
      <w:proofErr w:type="spellEnd"/>
      <w:r w:rsidRPr="006C4A45">
        <w:rPr>
          <w:rFonts w:ascii="Times New Roman" w:eastAsia="Times New Roman" w:hAnsi="Times New Roman" w:cs="Times New Roman"/>
          <w:sz w:val="24"/>
          <w:szCs w:val="24"/>
          <w:lang w:eastAsia="hu-HU"/>
        </w:rPr>
        <w:t xml:space="preserve"> </w:t>
      </w:r>
      <w:proofErr w:type="spellStart"/>
      <w:r w:rsidRPr="006C4A45">
        <w:rPr>
          <w:rFonts w:ascii="Times New Roman" w:eastAsia="Times New Roman" w:hAnsi="Times New Roman" w:cs="Times New Roman"/>
          <w:sz w:val="24"/>
          <w:szCs w:val="24"/>
          <w:lang w:eastAsia="hu-HU"/>
        </w:rPr>
        <w:t>амидолитическими</w:t>
      </w:r>
      <w:proofErr w:type="spellEnd"/>
      <w:r w:rsidRPr="006C4A45">
        <w:rPr>
          <w:rFonts w:ascii="Times New Roman" w:eastAsia="Times New Roman" w:hAnsi="Times New Roman" w:cs="Times New Roman"/>
          <w:sz w:val="24"/>
          <w:szCs w:val="24"/>
          <w:lang w:eastAsia="hu-HU"/>
        </w:rPr>
        <w:t xml:space="preserve"> методами.</w:t>
      </w:r>
    </w:p>
    <w:p w14:paraId="640155F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Биодоступность </w:t>
      </w:r>
    </w:p>
    <w:p w14:paraId="224CFE24" w14:textId="0944A286" w:rsidR="004A1839" w:rsidRPr="006C4A45" w:rsidRDefault="004A1839"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trike/>
          <w:sz w:val="24"/>
          <w:szCs w:val="24"/>
          <w:lang w:eastAsia="hu-HU"/>
        </w:rPr>
        <w:t xml:space="preserve">После подкожного введения </w:t>
      </w:r>
      <w:proofErr w:type="spellStart"/>
      <w:r w:rsidRPr="006C4A45">
        <w:rPr>
          <w:rFonts w:ascii="Times New Roman" w:eastAsia="Times New Roman" w:hAnsi="Times New Roman" w:cs="Times New Roman"/>
          <w:strike/>
          <w:sz w:val="24"/>
          <w:szCs w:val="24"/>
          <w:lang w:eastAsia="hu-HU"/>
        </w:rPr>
        <w:t>эноксапарин</w:t>
      </w:r>
      <w:proofErr w:type="spellEnd"/>
      <w:r w:rsidRPr="006C4A45">
        <w:rPr>
          <w:rFonts w:ascii="Times New Roman" w:eastAsia="Times New Roman" w:hAnsi="Times New Roman" w:cs="Times New Roman"/>
          <w:strike/>
          <w:sz w:val="24"/>
          <w:szCs w:val="24"/>
          <w:lang w:eastAsia="hu-HU"/>
        </w:rPr>
        <w:t xml:space="preserve"> быстро и почти полностью всасывается (около 100%).</w:t>
      </w:r>
      <w:r w:rsidRPr="006C4A45">
        <w:rPr>
          <w:rFonts w:ascii="Times New Roman" w:eastAsia="Times New Roman" w:hAnsi="Times New Roman" w:cs="Times New Roman"/>
          <w:sz w:val="24"/>
          <w:szCs w:val="24"/>
          <w:lang w:eastAsia="hu-HU"/>
        </w:rPr>
        <w:t xml:space="preserve"> </w:t>
      </w:r>
      <w:r w:rsidR="00277B34" w:rsidRPr="006C4A45">
        <w:rPr>
          <w:rFonts w:ascii="Times New Roman" w:eastAsia="Times New Roman" w:hAnsi="Times New Roman" w:cs="Times New Roman"/>
          <w:sz w:val="24"/>
          <w:szCs w:val="24"/>
          <w:lang w:eastAsia="hu-HU"/>
        </w:rPr>
        <w:t xml:space="preserve">Абсолютная биодоступность </w:t>
      </w:r>
      <w:proofErr w:type="spellStart"/>
      <w:r w:rsidR="00277B34" w:rsidRPr="006C4A45">
        <w:rPr>
          <w:rFonts w:ascii="Times New Roman" w:eastAsia="Times New Roman" w:hAnsi="Times New Roman" w:cs="Times New Roman"/>
          <w:sz w:val="24"/>
          <w:szCs w:val="24"/>
          <w:lang w:eastAsia="hu-HU"/>
        </w:rPr>
        <w:t>эноксапарина</w:t>
      </w:r>
      <w:proofErr w:type="spellEnd"/>
      <w:r w:rsidR="00277B34" w:rsidRPr="006C4A45">
        <w:rPr>
          <w:rFonts w:ascii="Times New Roman" w:eastAsia="Times New Roman" w:hAnsi="Times New Roman" w:cs="Times New Roman"/>
          <w:sz w:val="24"/>
          <w:szCs w:val="24"/>
          <w:lang w:eastAsia="hu-HU"/>
        </w:rPr>
        <w:t xml:space="preserve"> натрия после подкожной инъекции, основанная на анти-Ха активности, близка к 100%. </w:t>
      </w:r>
      <w:r w:rsidRPr="006C4A45">
        <w:rPr>
          <w:rFonts w:ascii="Times New Roman" w:eastAsia="Times New Roman" w:hAnsi="Times New Roman" w:cs="Times New Roman"/>
          <w:sz w:val="24"/>
          <w:szCs w:val="24"/>
          <w:lang w:eastAsia="hu-HU"/>
        </w:rPr>
        <w:t>Средний максимальный уровень анти-Ха активности в плазме наблюдается через 3-5 часов после подкожного введения и достигает приблизительно 0.2, 0.4, 1.0 и 1.3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МЕ/мл после однократного подкожного введения 2 000 МЕ, 4 000 МЕ, 100 МЕ/кг и 150 МЕ/кг (20 мг, 40 мг, 1 мг/кг и 1.5 мг/кг) доз, соответственно.</w:t>
      </w:r>
    </w:p>
    <w:p w14:paraId="291BB4D0" w14:textId="247F814E" w:rsidR="00277B34" w:rsidRPr="006C4A45" w:rsidRDefault="00277B34"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Внутривенное введение 3000 МЕ (30 мг) болюса с последующим введением 100 МЕ/кг (1 мг/кг) подкожно каждые 12 часов обеспечило начальный максимальный уровень активности анти-Ха 1,16 МЕ/мл (n=16) и среднюю экспозицию, соответствующую 88% от уровней устойчивого состояния. Устойчивое состояние достигается на второй день лечения.</w:t>
      </w:r>
    </w:p>
    <w:p w14:paraId="0531FF04" w14:textId="77777777" w:rsidR="00277B34" w:rsidRPr="006C4A45" w:rsidRDefault="00277B34" w:rsidP="00277B34">
      <w:pPr>
        <w:tabs>
          <w:tab w:val="left" w:pos="567"/>
        </w:tabs>
        <w:spacing w:after="0" w:line="240" w:lineRule="auto"/>
        <w:jc w:val="both"/>
        <w:rPr>
          <w:rFonts w:ascii="Times New Roman" w:eastAsia="Times New Roman" w:hAnsi="Times New Roman" w:cs="Times New Roman"/>
          <w:iCs/>
          <w:sz w:val="24"/>
          <w:szCs w:val="24"/>
          <w:lang w:eastAsia="hu-HU"/>
        </w:rPr>
      </w:pPr>
      <w:r w:rsidRPr="006C4A45">
        <w:rPr>
          <w:rFonts w:ascii="Times New Roman" w:eastAsia="Times New Roman" w:hAnsi="Times New Roman" w:cs="Times New Roman"/>
          <w:sz w:val="24"/>
          <w:szCs w:val="24"/>
          <w:lang w:eastAsia="hu-HU"/>
        </w:rPr>
        <w:t xml:space="preserve">После повторного подкожного введения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в дозе 4 000 МЕ (40 мг) 1 раз в сутки и </w:t>
      </w:r>
      <w:r w:rsidRPr="006C4A45">
        <w:rPr>
          <w:rFonts w:ascii="Times New Roman" w:eastAsia="Times New Roman" w:hAnsi="Times New Roman" w:cs="Times New Roman"/>
          <w:iCs/>
          <w:color w:val="000000"/>
          <w:sz w:val="24"/>
          <w:szCs w:val="24"/>
          <w:lang w:eastAsia="ru-RU"/>
        </w:rPr>
        <w:t>150 МЕ/кг (1.5 мг/кг) один раз в сутки</w:t>
      </w:r>
      <w:r w:rsidRPr="006C4A45">
        <w:rPr>
          <w:rFonts w:ascii="Times New Roman" w:eastAsia="Times New Roman" w:hAnsi="Times New Roman" w:cs="Times New Roman"/>
          <w:sz w:val="24"/>
          <w:szCs w:val="24"/>
          <w:lang w:eastAsia="hu-HU"/>
        </w:rPr>
        <w:t xml:space="preserve"> состояние равновесия достигается </w:t>
      </w:r>
      <w:r w:rsidRPr="006C4A45">
        <w:rPr>
          <w:rFonts w:ascii="Times New Roman" w:eastAsia="Times New Roman" w:hAnsi="Times New Roman" w:cs="Times New Roman"/>
          <w:sz w:val="24"/>
          <w:szCs w:val="24"/>
          <w:lang w:eastAsia="hu-HU"/>
        </w:rPr>
        <w:lastRenderedPageBreak/>
        <w:t xml:space="preserve">ко 2 дню, при этом коэффициент экспозиции в среднем на 15% выше, чем после однократного введения.  </w:t>
      </w:r>
    </w:p>
    <w:p w14:paraId="6A10FC11" w14:textId="77777777" w:rsidR="00277B34" w:rsidRPr="006C4A45" w:rsidRDefault="00277B34" w:rsidP="00277B3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После повторного подкожного введения 100 МЕ/кг (1 мг/кг) два раза в сутки равновесное состояние достигается через 3-4 дня со средней экспозицией, примерно, на 65% выше, чем после однократного введения, а средние значения максимальной и минимальной концентрации составляют примерно 1,2 и 0,52 МЕ/мл, соответственно. </w:t>
      </w:r>
    </w:p>
    <w:p w14:paraId="7907E0A0" w14:textId="77777777" w:rsidR="00277B34" w:rsidRPr="006C4A45" w:rsidRDefault="00277B34" w:rsidP="00277B34">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Вводимый объем и концентрация дозы свыше диапазона 100-200 мг/мл не влияет на фармакокинетические параметры.</w:t>
      </w:r>
    </w:p>
    <w:p w14:paraId="0B179D33" w14:textId="77777777" w:rsidR="00897E4A" w:rsidRPr="006C4A45" w:rsidRDefault="00897E4A" w:rsidP="00897E4A">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Фармакокинетика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в указанных режимах дозирования носит линейный характер.</w:t>
      </w:r>
    </w:p>
    <w:p w14:paraId="2579680D" w14:textId="77777777" w:rsidR="00897E4A" w:rsidRPr="006C4A45" w:rsidRDefault="00897E4A" w:rsidP="00897E4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Вариабельность внутри и между группами пациентов низкая. После повторных подкожных введений препарат не накапливается. </w:t>
      </w:r>
    </w:p>
    <w:p w14:paraId="5993443C" w14:textId="191BDD4E" w:rsidR="00277B34" w:rsidRPr="006C4A45" w:rsidRDefault="00897E4A" w:rsidP="00EC263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активность в плазме крови после подкожного введения примерно в 10 раз ниже, чем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активность. Средний максимальный уровень анти-</w:t>
      </w:r>
      <w:proofErr w:type="spellStart"/>
      <w:r w:rsidRPr="006C4A45">
        <w:rPr>
          <w:rFonts w:ascii="Times New Roman" w:eastAsia="Times New Roman" w:hAnsi="Times New Roman" w:cs="Times New Roman"/>
          <w:color w:val="000000"/>
          <w:sz w:val="24"/>
          <w:szCs w:val="24"/>
          <w:lang w:val="en-US" w:eastAsia="ru-RU"/>
        </w:rPr>
        <w:t>IIa</w:t>
      </w:r>
      <w:proofErr w:type="spellEnd"/>
      <w:r w:rsidRPr="006C4A45">
        <w:rPr>
          <w:rFonts w:ascii="Times New Roman" w:eastAsia="Times New Roman" w:hAnsi="Times New Roman" w:cs="Times New Roman"/>
          <w:color w:val="000000"/>
          <w:sz w:val="24"/>
          <w:szCs w:val="24"/>
          <w:lang w:eastAsia="ru-RU"/>
        </w:rPr>
        <w:t xml:space="preserve"> активности наблюдается приблизительно через 3-4 часа после подкожного введения и достигает 0,13 МЕ/мл и 0.19 МЕ/мл при повторном введении дозы 100 МЕ/кг (1 мг/кг) два раза в сутки и 150 МЕ/кг (1.5 мг/кг) один раз в сутки, соответственно. </w:t>
      </w:r>
    </w:p>
    <w:p w14:paraId="5258A32A"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Распределение </w:t>
      </w:r>
    </w:p>
    <w:p w14:paraId="2D786CC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Объем распределения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активности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натрия составляет примерно 4,3 литра и приближается к объему крови. </w:t>
      </w:r>
    </w:p>
    <w:p w14:paraId="7FF2FFE9"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Метаболизм </w:t>
      </w:r>
    </w:p>
    <w:p w14:paraId="28508F1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C4A45">
        <w:rPr>
          <w:rFonts w:ascii="Times New Roman" w:eastAsia="Times New Roman" w:hAnsi="Times New Roman" w:cs="Times New Roman"/>
          <w:color w:val="000000"/>
          <w:sz w:val="24"/>
          <w:szCs w:val="24"/>
          <w:lang w:eastAsia="ru-RU"/>
        </w:rPr>
        <w:t>Эноксапарин</w:t>
      </w:r>
      <w:proofErr w:type="spellEnd"/>
      <w:r w:rsidRPr="006C4A45">
        <w:rPr>
          <w:rFonts w:ascii="Times New Roman" w:eastAsia="Times New Roman" w:hAnsi="Times New Roman" w:cs="Times New Roman"/>
          <w:color w:val="000000"/>
          <w:sz w:val="24"/>
          <w:szCs w:val="24"/>
          <w:lang w:eastAsia="ru-RU"/>
        </w:rPr>
        <w:t xml:space="preserve"> натрия </w:t>
      </w:r>
      <w:proofErr w:type="spellStart"/>
      <w:r w:rsidRPr="006C4A45">
        <w:rPr>
          <w:rFonts w:ascii="Times New Roman" w:eastAsia="Times New Roman" w:hAnsi="Times New Roman" w:cs="Times New Roman"/>
          <w:color w:val="000000"/>
          <w:sz w:val="24"/>
          <w:szCs w:val="24"/>
          <w:lang w:eastAsia="ru-RU"/>
        </w:rPr>
        <w:t>метаболизируется</w:t>
      </w:r>
      <w:proofErr w:type="spellEnd"/>
      <w:r w:rsidRPr="006C4A45">
        <w:rPr>
          <w:rFonts w:ascii="Times New Roman" w:eastAsia="Times New Roman" w:hAnsi="Times New Roman" w:cs="Times New Roman"/>
          <w:color w:val="000000"/>
          <w:sz w:val="24"/>
          <w:szCs w:val="24"/>
          <w:lang w:eastAsia="ru-RU"/>
        </w:rPr>
        <w:t>, преимущественно, в печени (</w:t>
      </w:r>
      <w:proofErr w:type="spellStart"/>
      <w:r w:rsidRPr="006C4A45">
        <w:rPr>
          <w:rFonts w:ascii="Times New Roman" w:eastAsia="Times New Roman" w:hAnsi="Times New Roman" w:cs="Times New Roman"/>
          <w:color w:val="000000"/>
          <w:sz w:val="24"/>
          <w:szCs w:val="24"/>
          <w:lang w:eastAsia="ru-RU"/>
        </w:rPr>
        <w:t>десульфатирование</w:t>
      </w:r>
      <w:proofErr w:type="spellEnd"/>
      <w:r w:rsidRPr="006C4A45">
        <w:rPr>
          <w:rFonts w:ascii="Times New Roman" w:eastAsia="Times New Roman" w:hAnsi="Times New Roman" w:cs="Times New Roman"/>
          <w:color w:val="000000"/>
          <w:sz w:val="24"/>
          <w:szCs w:val="24"/>
          <w:lang w:eastAsia="ru-RU"/>
        </w:rPr>
        <w:t xml:space="preserve"> и/или деполимеризация с образованием низкомолекулярных веществ с очень низкой биологической активностью). </w:t>
      </w:r>
    </w:p>
    <w:p w14:paraId="358F6D4E"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bCs/>
          <w:i/>
          <w:color w:val="000000"/>
          <w:sz w:val="24"/>
          <w:szCs w:val="24"/>
          <w:lang w:eastAsia="ru-RU"/>
        </w:rPr>
      </w:pPr>
      <w:r w:rsidRPr="006C4A45">
        <w:rPr>
          <w:rFonts w:ascii="Times New Roman" w:eastAsia="Times New Roman" w:hAnsi="Times New Roman" w:cs="Times New Roman"/>
          <w:bCs/>
          <w:i/>
          <w:color w:val="000000"/>
          <w:sz w:val="24"/>
          <w:szCs w:val="24"/>
          <w:lang w:eastAsia="ru-RU"/>
        </w:rPr>
        <w:t xml:space="preserve">Выведение </w:t>
      </w:r>
    </w:p>
    <w:p w14:paraId="5A612965" w14:textId="77777777" w:rsidR="004A1839" w:rsidRPr="006C4A45" w:rsidRDefault="004A1839" w:rsidP="004A1839">
      <w:pPr>
        <w:keepNext/>
        <w:tabs>
          <w:tab w:val="left" w:pos="567"/>
        </w:tabs>
        <w:spacing w:after="0" w:line="240" w:lineRule="auto"/>
        <w:jc w:val="both"/>
        <w:rPr>
          <w:rFonts w:ascii="Times New Roman" w:eastAsia="Times New Roman" w:hAnsi="Times New Roman" w:cs="Times New Roman"/>
          <w:sz w:val="24"/>
          <w:szCs w:val="24"/>
          <w:lang w:eastAsia="hu-HU"/>
        </w:rPr>
      </w:pPr>
      <w:proofErr w:type="spellStart"/>
      <w:r w:rsidRPr="006C4A45">
        <w:rPr>
          <w:rFonts w:ascii="Times New Roman" w:eastAsia="Times New Roman" w:hAnsi="Times New Roman" w:cs="Times New Roman"/>
          <w:sz w:val="24"/>
          <w:szCs w:val="24"/>
          <w:lang w:eastAsia="hu-HU"/>
        </w:rPr>
        <w:t>Эноксапарин</w:t>
      </w:r>
      <w:proofErr w:type="spellEnd"/>
      <w:r w:rsidRPr="006C4A45">
        <w:rPr>
          <w:rFonts w:ascii="Times New Roman" w:eastAsia="Times New Roman" w:hAnsi="Times New Roman" w:cs="Times New Roman"/>
          <w:sz w:val="24"/>
          <w:szCs w:val="24"/>
          <w:lang w:eastAsia="hu-HU"/>
        </w:rPr>
        <w:t xml:space="preserve"> натрия является препаратом с низким клиренсом. После внутривенного введения в течение 6 часов в дозе 150 МЕ /кг (1.5 мг/кг) среднее значение клиренса анти-Ха в плазме составляет 0,74 л/час. </w:t>
      </w:r>
    </w:p>
    <w:p w14:paraId="5C7DDC49" w14:textId="02A262F9"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color w:val="000000"/>
          <w:sz w:val="24"/>
          <w:szCs w:val="24"/>
          <w:lang w:eastAsia="ru-RU"/>
        </w:rPr>
        <w:t xml:space="preserve">Для </w:t>
      </w:r>
      <w:proofErr w:type="spellStart"/>
      <w:r w:rsidRPr="006C4A45">
        <w:rPr>
          <w:rFonts w:ascii="Times New Roman" w:eastAsia="Times New Roman" w:hAnsi="Times New Roman" w:cs="Times New Roman"/>
          <w:color w:val="000000"/>
          <w:sz w:val="24"/>
          <w:szCs w:val="24"/>
          <w:lang w:eastAsia="ru-RU"/>
        </w:rPr>
        <w:t>эноксапарина</w:t>
      </w:r>
      <w:proofErr w:type="spellEnd"/>
      <w:r w:rsidRPr="006C4A45">
        <w:rPr>
          <w:rFonts w:ascii="Times New Roman" w:eastAsia="Times New Roman" w:hAnsi="Times New Roman" w:cs="Times New Roman"/>
          <w:color w:val="000000"/>
          <w:sz w:val="24"/>
          <w:szCs w:val="24"/>
          <w:lang w:eastAsia="ru-RU"/>
        </w:rPr>
        <w:t xml:space="preserve"> характерно монофазное выведение с периодом полувыведения около </w:t>
      </w:r>
      <w:r w:rsidR="00E26020" w:rsidRPr="006C4A45">
        <w:rPr>
          <w:rFonts w:ascii="Times New Roman" w:eastAsia="Times New Roman" w:hAnsi="Times New Roman" w:cs="Times New Roman"/>
          <w:color w:val="000000"/>
          <w:sz w:val="24"/>
          <w:szCs w:val="24"/>
          <w:lang w:eastAsia="ru-RU"/>
        </w:rPr>
        <w:t>5</w:t>
      </w:r>
      <w:r w:rsidRPr="006C4A45">
        <w:rPr>
          <w:rFonts w:ascii="Times New Roman" w:eastAsia="Times New Roman" w:hAnsi="Times New Roman" w:cs="Times New Roman"/>
          <w:color w:val="000000"/>
          <w:sz w:val="24"/>
          <w:szCs w:val="24"/>
          <w:lang w:eastAsia="ru-RU"/>
        </w:rPr>
        <w:t xml:space="preserve"> часов после однократной подкожной дозы и около 7 часов после </w:t>
      </w:r>
      <w:r w:rsidR="00E26020" w:rsidRPr="006C4A45">
        <w:rPr>
          <w:rFonts w:ascii="Times New Roman" w:eastAsia="Times New Roman" w:hAnsi="Times New Roman" w:cs="Times New Roman"/>
          <w:color w:val="000000"/>
          <w:sz w:val="24"/>
          <w:szCs w:val="24"/>
          <w:lang w:eastAsia="ru-RU"/>
        </w:rPr>
        <w:t>повторной дозы</w:t>
      </w:r>
      <w:r w:rsidRPr="006C4A45">
        <w:rPr>
          <w:rFonts w:ascii="Times New Roman" w:eastAsia="Times New Roman" w:hAnsi="Times New Roman" w:cs="Times New Roman"/>
          <w:color w:val="000000"/>
          <w:sz w:val="24"/>
          <w:szCs w:val="24"/>
          <w:lang w:eastAsia="ru-RU"/>
        </w:rPr>
        <w:t>. Почечный клиренс фрагментов с анти-</w:t>
      </w:r>
      <w:proofErr w:type="spellStart"/>
      <w:r w:rsidRPr="006C4A45">
        <w:rPr>
          <w:rFonts w:ascii="Times New Roman" w:eastAsia="Times New Roman" w:hAnsi="Times New Roman" w:cs="Times New Roman"/>
          <w:color w:val="000000"/>
          <w:sz w:val="24"/>
          <w:szCs w:val="24"/>
          <w:lang w:val="en-US" w:eastAsia="ru-RU"/>
        </w:rPr>
        <w:t>Xa</w:t>
      </w:r>
      <w:proofErr w:type="spellEnd"/>
      <w:r w:rsidRPr="006C4A45">
        <w:rPr>
          <w:rFonts w:ascii="Times New Roman" w:eastAsia="Times New Roman" w:hAnsi="Times New Roman" w:cs="Times New Roman"/>
          <w:color w:val="000000"/>
          <w:sz w:val="24"/>
          <w:szCs w:val="24"/>
          <w:lang w:eastAsia="ru-RU"/>
        </w:rPr>
        <w:t xml:space="preserve"> активностью составляет около 10% от введенной дозы, а общая почечная экскреция активных и неактивных компонентов составляет 40% от введенной дозы. </w:t>
      </w:r>
    </w:p>
    <w:p w14:paraId="6378B921"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6C4A45">
        <w:rPr>
          <w:rFonts w:ascii="Times New Roman" w:eastAsia="Times New Roman" w:hAnsi="Times New Roman" w:cs="Times New Roman"/>
          <w:bCs/>
          <w:i/>
          <w:color w:val="000000"/>
          <w:sz w:val="24"/>
          <w:szCs w:val="24"/>
          <w:lang w:eastAsia="ru-RU"/>
        </w:rPr>
        <w:t>Особые группы пациентов</w:t>
      </w:r>
    </w:p>
    <w:p w14:paraId="2963144F"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i/>
          <w:color w:val="000000"/>
          <w:sz w:val="24"/>
          <w:szCs w:val="24"/>
          <w:lang w:eastAsia="ru-RU"/>
        </w:rPr>
        <w:t>Пациенты пожилого возраста</w:t>
      </w:r>
      <w:r w:rsidRPr="006C4A45">
        <w:rPr>
          <w:rFonts w:ascii="Times New Roman" w:eastAsia="Times New Roman" w:hAnsi="Times New Roman" w:cs="Times New Roman"/>
          <w:color w:val="000000"/>
          <w:sz w:val="24"/>
          <w:szCs w:val="24"/>
          <w:lang w:eastAsia="ru-RU"/>
        </w:rPr>
        <w:t xml:space="preserve"> </w:t>
      </w:r>
    </w:p>
    <w:p w14:paraId="590EF510" w14:textId="77777777" w:rsidR="004A1839" w:rsidRPr="006C4A45" w:rsidRDefault="004A1839" w:rsidP="004A1839">
      <w:pPr>
        <w:tabs>
          <w:tab w:val="left" w:pos="567"/>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Кинетический профиль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у пациентов пожилого возраста не отличается от фармакокинетики у более молодых пациентов при сохранении нормальной функции почек.</w:t>
      </w:r>
    </w:p>
    <w:p w14:paraId="2DDC42E7" w14:textId="731548D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Поскольку, как известно, функция почек с возрастом ухудшается, у пациентов пожилого возраста может снижаться выведение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w:t>
      </w:r>
      <w:r w:rsidR="005E21F3" w:rsidRPr="006C4A45">
        <w:rPr>
          <w:rFonts w:ascii="Times New Roman" w:eastAsia="Times New Roman" w:hAnsi="Times New Roman" w:cs="Times New Roman"/>
          <w:sz w:val="24"/>
          <w:szCs w:val="24"/>
          <w:lang w:eastAsia="hu-HU"/>
        </w:rPr>
        <w:t xml:space="preserve"> (см. раздел 4.2 и 4.4)</w:t>
      </w:r>
      <w:r w:rsidRPr="006C4A45">
        <w:rPr>
          <w:rFonts w:ascii="Times New Roman" w:eastAsia="Times New Roman" w:hAnsi="Times New Roman" w:cs="Times New Roman"/>
          <w:sz w:val="24"/>
          <w:szCs w:val="24"/>
          <w:lang w:eastAsia="hu-HU"/>
        </w:rPr>
        <w:t xml:space="preserve">. </w:t>
      </w:r>
    </w:p>
    <w:p w14:paraId="75FF5475"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6C4A45">
        <w:rPr>
          <w:rFonts w:ascii="Times New Roman" w:eastAsia="Times New Roman" w:hAnsi="Times New Roman" w:cs="Times New Roman"/>
          <w:i/>
          <w:sz w:val="24"/>
          <w:szCs w:val="24"/>
          <w:lang w:eastAsia="hu-HU"/>
        </w:rPr>
        <w:t>Нарушение функции печени</w:t>
      </w:r>
    </w:p>
    <w:p w14:paraId="5F5803B7"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У пациентов с запущенным циррозом, которые получали лечение </w:t>
      </w:r>
      <w:proofErr w:type="spellStart"/>
      <w:r w:rsidRPr="006C4A45">
        <w:rPr>
          <w:rFonts w:ascii="Times New Roman" w:eastAsia="Times New Roman" w:hAnsi="Times New Roman" w:cs="Times New Roman"/>
          <w:sz w:val="24"/>
          <w:szCs w:val="24"/>
          <w:lang w:eastAsia="hu-HU"/>
        </w:rPr>
        <w:t>эноксапарином</w:t>
      </w:r>
      <w:proofErr w:type="spellEnd"/>
      <w:r w:rsidRPr="006C4A45">
        <w:rPr>
          <w:rFonts w:ascii="Times New Roman" w:eastAsia="Times New Roman" w:hAnsi="Times New Roman" w:cs="Times New Roman"/>
          <w:sz w:val="24"/>
          <w:szCs w:val="24"/>
          <w:lang w:eastAsia="hu-HU"/>
        </w:rPr>
        <w:t xml:space="preserve"> натрия 4 000 МЕ (40 мг) один раз в сутки, снижение максимальной анти-Ха активности было связано с увеличением тяжести нарушения функции печени (оценка по классификации Чайлда-Пью). Это снижение, главным образом, было вызвано снижением уровня ATIII вследствие сниженного синтеза ATIII у пациентов с нарушением функции печени.</w:t>
      </w:r>
    </w:p>
    <w:p w14:paraId="4E935D05" w14:textId="77777777"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i/>
          <w:color w:val="000000"/>
          <w:sz w:val="24"/>
          <w:szCs w:val="24"/>
          <w:lang w:eastAsia="ru-RU"/>
        </w:rPr>
        <w:t xml:space="preserve">Почечная недостаточность </w:t>
      </w:r>
    </w:p>
    <w:p w14:paraId="066464FB" w14:textId="43F7AB04" w:rsidR="004A1839" w:rsidRPr="006C4A45" w:rsidRDefault="004A1839" w:rsidP="004A1839">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Между клиренсом анти-Ха в плазме и клиренсом креатинина в равновесном состоянии наблюдалась линейная зависимость, указывающая на снижении клиренса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у пациентов со сниженной функцией почек. Активность анти-</w:t>
      </w:r>
      <w:proofErr w:type="spellStart"/>
      <w:r w:rsidRPr="006C4A45">
        <w:rPr>
          <w:rFonts w:ascii="Times New Roman" w:eastAsia="Times New Roman" w:hAnsi="Times New Roman" w:cs="Times New Roman"/>
          <w:sz w:val="24"/>
          <w:szCs w:val="24"/>
          <w:lang w:eastAsia="hu-HU"/>
        </w:rPr>
        <w:t>Xa</w:t>
      </w:r>
      <w:proofErr w:type="spellEnd"/>
      <w:r w:rsidRPr="006C4A45">
        <w:rPr>
          <w:rFonts w:ascii="Times New Roman" w:eastAsia="Times New Roman" w:hAnsi="Times New Roman" w:cs="Times New Roman"/>
          <w:sz w:val="24"/>
          <w:szCs w:val="24"/>
          <w:lang w:eastAsia="hu-HU"/>
        </w:rPr>
        <w:t xml:space="preserve">, </w:t>
      </w:r>
      <w:r w:rsidRPr="006C4A45">
        <w:rPr>
          <w:rFonts w:ascii="Times New Roman" w:eastAsia="Times New Roman" w:hAnsi="Times New Roman" w:cs="Times New Roman"/>
          <w:sz w:val="24"/>
          <w:szCs w:val="24"/>
          <w:lang w:eastAsia="hu-HU"/>
        </w:rPr>
        <w:lastRenderedPageBreak/>
        <w:t>представленная площадью под фармакокинетической кривой, в равновесном состоянии незначительно увеличена при легком (клиренс креатинина 50-80 мл/мин) и умеренном (клиренс креатинина 30-50 мл/мин) нарушении функции почек после повторных подкожных доз 4 000 МЕ (40 мг) один раз в сутки. У пациентов с тяжелым нарушением функции почек (клиренс креатинина &lt;30 мл/мин), площадь под фармакокинетической кривой в равновесном состоянии значительно увеличена в среднем на 65% после повторных подкожных доз 4 000 МЕ (40 мг) один раз в сутки</w:t>
      </w:r>
      <w:r w:rsidR="00EF0FBB" w:rsidRPr="006C4A45">
        <w:rPr>
          <w:rFonts w:ascii="Times New Roman" w:eastAsia="Times New Roman" w:hAnsi="Times New Roman" w:cs="Times New Roman"/>
          <w:sz w:val="24"/>
          <w:szCs w:val="24"/>
          <w:lang w:eastAsia="hu-HU"/>
        </w:rPr>
        <w:t xml:space="preserve"> (см. раздел 4.2 и 4.4)</w:t>
      </w:r>
      <w:r w:rsidRPr="006C4A45">
        <w:rPr>
          <w:rFonts w:ascii="Times New Roman" w:eastAsia="Times New Roman" w:hAnsi="Times New Roman" w:cs="Times New Roman"/>
          <w:sz w:val="24"/>
          <w:szCs w:val="24"/>
          <w:lang w:eastAsia="hu-HU"/>
        </w:rPr>
        <w:t>.</w:t>
      </w:r>
    </w:p>
    <w:p w14:paraId="01B97199" w14:textId="77777777" w:rsidR="00EF0FBB" w:rsidRPr="006C4A45" w:rsidRDefault="00EF0FBB" w:rsidP="00EF0FBB">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Гемодиализ</w:t>
      </w:r>
    </w:p>
    <w:p w14:paraId="5482B4B1" w14:textId="29D4036E" w:rsidR="004A1839" w:rsidRPr="006C4A45" w:rsidRDefault="00EF0FBB" w:rsidP="00EF0FB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C4A45">
        <w:rPr>
          <w:rFonts w:ascii="Times New Roman" w:eastAsia="Times New Roman" w:hAnsi="Times New Roman" w:cs="Times New Roman"/>
          <w:i/>
          <w:color w:val="000000"/>
          <w:sz w:val="24"/>
          <w:szCs w:val="24"/>
          <w:lang w:eastAsia="ru-RU"/>
        </w:rPr>
        <w:t>Пациенты</w:t>
      </w:r>
      <w:r w:rsidR="004A1839" w:rsidRPr="006C4A45">
        <w:rPr>
          <w:rFonts w:ascii="Times New Roman" w:eastAsia="Times New Roman" w:hAnsi="Times New Roman" w:cs="Times New Roman"/>
          <w:i/>
          <w:color w:val="000000"/>
          <w:sz w:val="24"/>
          <w:szCs w:val="24"/>
          <w:lang w:eastAsia="ru-RU"/>
        </w:rPr>
        <w:t>, находящиеся на гемодиализе</w:t>
      </w:r>
      <w:r w:rsidR="004A1839" w:rsidRPr="006C4A45">
        <w:rPr>
          <w:rFonts w:ascii="Times New Roman" w:eastAsia="Times New Roman" w:hAnsi="Times New Roman" w:cs="Times New Roman"/>
          <w:color w:val="000000"/>
          <w:sz w:val="24"/>
          <w:szCs w:val="24"/>
          <w:lang w:eastAsia="ru-RU"/>
        </w:rPr>
        <w:t xml:space="preserve"> </w:t>
      </w:r>
    </w:p>
    <w:p w14:paraId="355ADD64" w14:textId="77777777" w:rsidR="004A1839" w:rsidRPr="006C4A45" w:rsidRDefault="004A1839" w:rsidP="004A1839">
      <w:pPr>
        <w:tabs>
          <w:tab w:val="left" w:pos="567"/>
          <w:tab w:val="left" w:pos="8222"/>
        </w:tabs>
        <w:spacing w:after="0" w:line="240" w:lineRule="auto"/>
        <w:jc w:val="both"/>
        <w:rPr>
          <w:rFonts w:ascii="Times New Roman" w:eastAsia="Times New Roman" w:hAnsi="Times New Roman" w:cs="Times New Roman"/>
          <w:sz w:val="24"/>
          <w:szCs w:val="24"/>
          <w:lang w:eastAsia="hu-HU"/>
        </w:rPr>
      </w:pPr>
      <w:r w:rsidRPr="006C4A45">
        <w:rPr>
          <w:rFonts w:ascii="Times New Roman" w:eastAsia="Times New Roman" w:hAnsi="Times New Roman" w:cs="Times New Roman"/>
          <w:sz w:val="24"/>
          <w:szCs w:val="24"/>
          <w:lang w:eastAsia="hu-HU"/>
        </w:rPr>
        <w:t xml:space="preserve">Фармакокинетика </w:t>
      </w:r>
      <w:proofErr w:type="spellStart"/>
      <w:r w:rsidRPr="006C4A45">
        <w:rPr>
          <w:rFonts w:ascii="Times New Roman" w:eastAsia="Times New Roman" w:hAnsi="Times New Roman" w:cs="Times New Roman"/>
          <w:sz w:val="24"/>
          <w:szCs w:val="24"/>
          <w:lang w:eastAsia="hu-HU"/>
        </w:rPr>
        <w:t>эноксапарина</w:t>
      </w:r>
      <w:proofErr w:type="spellEnd"/>
      <w:r w:rsidRPr="006C4A45">
        <w:rPr>
          <w:rFonts w:ascii="Times New Roman" w:eastAsia="Times New Roman" w:hAnsi="Times New Roman" w:cs="Times New Roman"/>
          <w:sz w:val="24"/>
          <w:szCs w:val="24"/>
          <w:lang w:eastAsia="hu-HU"/>
        </w:rPr>
        <w:t xml:space="preserve"> натрия соответствует фармакокинетике у контрольной группы после однократной 25 МЕ, 50 МЕ или 100 МЕ/кг (0.25, 0.50 или 1.0 мг/кг) внутривенной дозы, однако площадь под фармакокинетической кривой была в два раза выше, чем в контрольной группе.</w:t>
      </w:r>
    </w:p>
    <w:p w14:paraId="3645A4FC" w14:textId="20A181D2" w:rsidR="00EF0FBB" w:rsidRPr="006C4A45" w:rsidRDefault="00EF0FBB" w:rsidP="00EF0FBB">
      <w:pPr>
        <w:spacing w:after="0" w:line="240" w:lineRule="auto"/>
        <w:jc w:val="both"/>
        <w:rPr>
          <w:rFonts w:ascii="Times New Roman" w:eastAsia="Calibri" w:hAnsi="Times New Roman" w:cs="Times New Roman"/>
          <w:i/>
          <w:iCs/>
          <w:sz w:val="24"/>
          <w:szCs w:val="24"/>
          <w:lang w:bidi="ar-IQ"/>
        </w:rPr>
      </w:pPr>
      <w:r w:rsidRPr="006C4A45">
        <w:rPr>
          <w:rFonts w:ascii="Times New Roman" w:eastAsia="Calibri" w:hAnsi="Times New Roman" w:cs="Times New Roman"/>
          <w:i/>
          <w:iCs/>
          <w:sz w:val="24"/>
          <w:szCs w:val="24"/>
          <w:lang w:bidi="ar-IQ"/>
        </w:rPr>
        <w:t>Вес</w:t>
      </w:r>
    </w:p>
    <w:p w14:paraId="62C2324F" w14:textId="6EFE126E" w:rsidR="00EF0FBB"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После повторного подкожного введения 150 МЕ/кг (1,5 мг/кг) один раз в день средняя AUC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активности незначительно выше в устойчивом состоянии у здоровых добровольцев с ожирением (ИМТ 30–48 кг/м2) по сравнению с контрольными субъектами без ожирения, в то время как максимальный уровень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активности в плазме не увеличивается. У тучных субъектов с подкожным введением наблюдается более низкий клиренс с поправкой на вес.</w:t>
      </w:r>
    </w:p>
    <w:p w14:paraId="79EC1F2A" w14:textId="2415E832" w:rsidR="00866A7A"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При введении дозировки без поправок на вес было обнаружено после однократного подкожного введения 4000 МЕ (40 мг), что воздействие анти-</w:t>
      </w:r>
      <w:proofErr w:type="spellStart"/>
      <w:r w:rsidRPr="006C4A45">
        <w:rPr>
          <w:rFonts w:ascii="Times New Roman" w:eastAsia="Calibri" w:hAnsi="Times New Roman" w:cs="Times New Roman"/>
          <w:sz w:val="24"/>
          <w:szCs w:val="24"/>
          <w:lang w:bidi="ar-IQ"/>
        </w:rPr>
        <w:t>Xa</w:t>
      </w:r>
      <w:proofErr w:type="spellEnd"/>
      <w:r w:rsidRPr="006C4A45">
        <w:rPr>
          <w:rFonts w:ascii="Times New Roman" w:eastAsia="Calibri" w:hAnsi="Times New Roman" w:cs="Times New Roman"/>
          <w:sz w:val="24"/>
          <w:szCs w:val="24"/>
          <w:lang w:bidi="ar-IQ"/>
        </w:rPr>
        <w:t xml:space="preserve"> на 52% выше у женщин с низким весом (&lt;45 кг) и на 27% выше у мужчин с низким весом (&lt;57 кг) по сравнению с контрольными субъектами с нормальным весом (см. раздел 4.4).</w:t>
      </w:r>
    </w:p>
    <w:p w14:paraId="2BE8804F" w14:textId="3A2C9380" w:rsidR="00EF0FBB" w:rsidRPr="006C4A45" w:rsidRDefault="00EF0FBB" w:rsidP="00EF0FBB">
      <w:pPr>
        <w:spacing w:after="0" w:line="240" w:lineRule="auto"/>
        <w:jc w:val="both"/>
        <w:rPr>
          <w:rFonts w:ascii="Times New Roman" w:eastAsia="Calibri" w:hAnsi="Times New Roman" w:cs="Times New Roman"/>
          <w:i/>
          <w:iCs/>
          <w:sz w:val="24"/>
          <w:szCs w:val="24"/>
          <w:lang w:bidi="ar-IQ"/>
        </w:rPr>
      </w:pPr>
      <w:r w:rsidRPr="006C4A45">
        <w:rPr>
          <w:rFonts w:ascii="Times New Roman" w:eastAsia="Calibri" w:hAnsi="Times New Roman" w:cs="Times New Roman"/>
          <w:i/>
          <w:iCs/>
          <w:sz w:val="24"/>
          <w:szCs w:val="24"/>
          <w:lang w:bidi="ar-IQ"/>
        </w:rPr>
        <w:t>Фармакокинетические взаимодействия</w:t>
      </w:r>
    </w:p>
    <w:p w14:paraId="1313435C" w14:textId="063F5BF7" w:rsidR="00EF0FBB" w:rsidRPr="006C4A45" w:rsidRDefault="00EF0FBB" w:rsidP="00EF0FBB">
      <w:pPr>
        <w:spacing w:after="0" w:line="240" w:lineRule="auto"/>
        <w:jc w:val="both"/>
        <w:rPr>
          <w:rFonts w:ascii="Times New Roman" w:eastAsia="Calibri" w:hAnsi="Times New Roman" w:cs="Times New Roman"/>
          <w:sz w:val="24"/>
          <w:szCs w:val="24"/>
          <w:lang w:bidi="ar-IQ"/>
        </w:rPr>
      </w:pPr>
      <w:r w:rsidRPr="006C4A45">
        <w:rPr>
          <w:rFonts w:ascii="Times New Roman" w:eastAsia="Calibri" w:hAnsi="Times New Roman" w:cs="Times New Roman"/>
          <w:sz w:val="24"/>
          <w:szCs w:val="24"/>
          <w:lang w:bidi="ar-IQ"/>
        </w:rPr>
        <w:t xml:space="preserve">При одновременном применении </w:t>
      </w:r>
      <w:proofErr w:type="spellStart"/>
      <w:r w:rsidRPr="006C4A45">
        <w:rPr>
          <w:rFonts w:ascii="Times New Roman" w:eastAsia="Calibri" w:hAnsi="Times New Roman" w:cs="Times New Roman"/>
          <w:sz w:val="24"/>
          <w:szCs w:val="24"/>
          <w:lang w:bidi="ar-IQ"/>
        </w:rPr>
        <w:t>эноксапарина</w:t>
      </w:r>
      <w:proofErr w:type="spellEnd"/>
      <w:r w:rsidRPr="006C4A45">
        <w:rPr>
          <w:rFonts w:ascii="Times New Roman" w:eastAsia="Calibri" w:hAnsi="Times New Roman" w:cs="Times New Roman"/>
          <w:sz w:val="24"/>
          <w:szCs w:val="24"/>
          <w:lang w:bidi="ar-IQ"/>
        </w:rPr>
        <w:t xml:space="preserve"> натрия и </w:t>
      </w:r>
      <w:proofErr w:type="spellStart"/>
      <w:r w:rsidRPr="006C4A45">
        <w:rPr>
          <w:rFonts w:ascii="Times New Roman" w:eastAsia="Calibri" w:hAnsi="Times New Roman" w:cs="Times New Roman"/>
          <w:sz w:val="24"/>
          <w:szCs w:val="24"/>
          <w:lang w:bidi="ar-IQ"/>
        </w:rPr>
        <w:t>тромболитиков</w:t>
      </w:r>
      <w:proofErr w:type="spellEnd"/>
      <w:r w:rsidRPr="006C4A45">
        <w:rPr>
          <w:rFonts w:ascii="Times New Roman" w:eastAsia="Calibri" w:hAnsi="Times New Roman" w:cs="Times New Roman"/>
          <w:sz w:val="24"/>
          <w:szCs w:val="24"/>
          <w:lang w:bidi="ar-IQ"/>
        </w:rPr>
        <w:t xml:space="preserve"> фармакокинетических взаимодействий не наблюдалось. </w:t>
      </w:r>
    </w:p>
    <w:p w14:paraId="2A119A2A" w14:textId="1361B508" w:rsidR="00EF0FBB" w:rsidRPr="006C4A45" w:rsidRDefault="00EF0FBB" w:rsidP="00EF0FBB">
      <w:pPr>
        <w:spacing w:after="0" w:line="240" w:lineRule="auto"/>
        <w:jc w:val="both"/>
        <w:rPr>
          <w:rFonts w:ascii="Times New Roman" w:eastAsia="Calibri" w:hAnsi="Times New Roman" w:cs="Times New Roman"/>
          <w:sz w:val="24"/>
          <w:szCs w:val="24"/>
          <w:lang w:bidi="ar-IQ"/>
        </w:rPr>
      </w:pPr>
    </w:p>
    <w:p w14:paraId="0127882F" w14:textId="77777777" w:rsidR="00DF7618" w:rsidRPr="006C4A45" w:rsidRDefault="00DF7618" w:rsidP="00DF7618">
      <w:pPr>
        <w:autoSpaceDE w:val="0"/>
        <w:autoSpaceDN w:val="0"/>
        <w:adjustRightInd w:val="0"/>
        <w:spacing w:after="0" w:line="240" w:lineRule="auto"/>
        <w:jc w:val="both"/>
        <w:rPr>
          <w:rFonts w:ascii="Times New Roman" w:eastAsia="TimesNewRomanPSMT" w:hAnsi="Times New Roman"/>
          <w:b/>
          <w:sz w:val="24"/>
          <w:szCs w:val="24"/>
          <w:lang w:eastAsia="ru-RU"/>
        </w:rPr>
      </w:pPr>
      <w:r w:rsidRPr="006C4A45">
        <w:rPr>
          <w:rFonts w:ascii="Times New Roman" w:hAnsi="Times New Roman"/>
          <w:b/>
          <w:sz w:val="24"/>
          <w:szCs w:val="24"/>
          <w:lang w:eastAsia="ru-RU"/>
        </w:rPr>
        <w:t xml:space="preserve">5.3. </w:t>
      </w:r>
      <w:r w:rsidRPr="006C4A45">
        <w:rPr>
          <w:rFonts w:ascii="Times New Roman" w:eastAsia="TimesNewRomanPSMT" w:hAnsi="Times New Roman"/>
          <w:b/>
          <w:sz w:val="24"/>
          <w:szCs w:val="24"/>
          <w:lang w:eastAsia="ru-RU"/>
        </w:rPr>
        <w:t>Данные доклинической безопасности</w:t>
      </w:r>
    </w:p>
    <w:p w14:paraId="64A0176A"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r w:rsidRPr="006C4A45">
        <w:rPr>
          <w:rFonts w:ascii="Times New Roman" w:hAnsi="Times New Roman"/>
          <w:iCs/>
          <w:sz w:val="24"/>
          <w:szCs w:val="24"/>
          <w:lang w:eastAsia="ru-RU"/>
        </w:rPr>
        <w:t xml:space="preserve">Помимо антикоагулянтных эффектов </w:t>
      </w:r>
      <w:proofErr w:type="spellStart"/>
      <w:r w:rsidRPr="006C4A45">
        <w:rPr>
          <w:rFonts w:ascii="Times New Roman" w:hAnsi="Times New Roman"/>
          <w:iCs/>
          <w:sz w:val="24"/>
          <w:szCs w:val="24"/>
          <w:lang w:eastAsia="ru-RU"/>
        </w:rPr>
        <w:t>эноксапарина</w:t>
      </w:r>
      <w:proofErr w:type="spellEnd"/>
      <w:r w:rsidRPr="006C4A45">
        <w:rPr>
          <w:rFonts w:ascii="Times New Roman" w:hAnsi="Times New Roman"/>
          <w:iCs/>
          <w:sz w:val="24"/>
          <w:szCs w:val="24"/>
          <w:lang w:eastAsia="ru-RU"/>
        </w:rPr>
        <w:t xml:space="preserve"> натрия, не было никаких доказательств побочных эффектов при 15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в 13-недельных исследованиях подкожной токсичности как у крыс, так и у собак и при 10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в 26-недельных исследованиях подкожной и внутривенной токсичности как у крыс, так и у обезьян.</w:t>
      </w:r>
    </w:p>
    <w:p w14:paraId="6CAF1B04"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proofErr w:type="spellStart"/>
      <w:r w:rsidRPr="006C4A45">
        <w:rPr>
          <w:rFonts w:ascii="Times New Roman" w:hAnsi="Times New Roman"/>
          <w:sz w:val="24"/>
          <w:szCs w:val="24"/>
        </w:rPr>
        <w:t>Эноксапарин</w:t>
      </w:r>
      <w:proofErr w:type="spellEnd"/>
      <w:r w:rsidRPr="006C4A45">
        <w:rPr>
          <w:rFonts w:ascii="Times New Roman" w:hAnsi="Times New Roman"/>
          <w:sz w:val="24"/>
          <w:szCs w:val="24"/>
        </w:rPr>
        <w:t xml:space="preserve"> натрия не показал никакой мутагенной активности на основе тестов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vitro</w:t>
      </w:r>
      <w:proofErr w:type="spellEnd"/>
      <w:r w:rsidRPr="006C4A45">
        <w:rPr>
          <w:rFonts w:ascii="Times New Roman" w:hAnsi="Times New Roman"/>
          <w:sz w:val="24"/>
          <w:szCs w:val="24"/>
        </w:rPr>
        <w:t xml:space="preserve">, включая тест </w:t>
      </w:r>
      <w:proofErr w:type="spellStart"/>
      <w:r w:rsidRPr="006C4A45">
        <w:rPr>
          <w:rFonts w:ascii="Times New Roman" w:hAnsi="Times New Roman"/>
          <w:sz w:val="24"/>
          <w:szCs w:val="24"/>
        </w:rPr>
        <w:t>Эймса</w:t>
      </w:r>
      <w:proofErr w:type="spellEnd"/>
      <w:r w:rsidRPr="006C4A45">
        <w:rPr>
          <w:rFonts w:ascii="Times New Roman" w:hAnsi="Times New Roman"/>
          <w:sz w:val="24"/>
          <w:szCs w:val="24"/>
        </w:rPr>
        <w:t xml:space="preserve">, тест прямой мутации клеток лимфомы мыши. </w:t>
      </w:r>
      <w:proofErr w:type="spellStart"/>
      <w:r w:rsidRPr="006C4A45">
        <w:rPr>
          <w:rFonts w:ascii="Times New Roman" w:hAnsi="Times New Roman"/>
          <w:sz w:val="24"/>
          <w:szCs w:val="24"/>
        </w:rPr>
        <w:t>Эноксапарин</w:t>
      </w:r>
      <w:proofErr w:type="spellEnd"/>
      <w:r w:rsidRPr="006C4A45">
        <w:rPr>
          <w:rFonts w:ascii="Times New Roman" w:hAnsi="Times New Roman"/>
          <w:sz w:val="24"/>
          <w:szCs w:val="24"/>
        </w:rPr>
        <w:t xml:space="preserve"> натрия не показал </w:t>
      </w:r>
      <w:proofErr w:type="spellStart"/>
      <w:r w:rsidRPr="006C4A45">
        <w:rPr>
          <w:rFonts w:ascii="Times New Roman" w:hAnsi="Times New Roman"/>
          <w:i/>
          <w:iCs/>
          <w:sz w:val="24"/>
          <w:szCs w:val="24"/>
        </w:rPr>
        <w:t>кластогенной</w:t>
      </w:r>
      <w:proofErr w:type="spellEnd"/>
      <w:r w:rsidRPr="006C4A45">
        <w:rPr>
          <w:rFonts w:ascii="Times New Roman" w:hAnsi="Times New Roman"/>
          <w:i/>
          <w:iCs/>
          <w:sz w:val="24"/>
          <w:szCs w:val="24"/>
        </w:rPr>
        <w:t xml:space="preserve"> активности</w:t>
      </w:r>
      <w:r w:rsidRPr="006C4A45">
        <w:rPr>
          <w:rFonts w:ascii="Times New Roman" w:hAnsi="Times New Roman"/>
          <w:sz w:val="24"/>
          <w:szCs w:val="24"/>
        </w:rPr>
        <w:t xml:space="preserve"> на основе теста хромосомной аберрации лимфоцитов человека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vitro</w:t>
      </w:r>
      <w:proofErr w:type="spellEnd"/>
      <w:r w:rsidRPr="006C4A45">
        <w:rPr>
          <w:rFonts w:ascii="Times New Roman" w:hAnsi="Times New Roman"/>
          <w:sz w:val="24"/>
          <w:szCs w:val="24"/>
        </w:rPr>
        <w:t xml:space="preserve"> и теста хромосомной аберрации костного мозга крысы </w:t>
      </w:r>
      <w:proofErr w:type="spellStart"/>
      <w:r w:rsidRPr="006C4A45">
        <w:rPr>
          <w:rFonts w:ascii="Times New Roman" w:hAnsi="Times New Roman"/>
          <w:i/>
          <w:iCs/>
          <w:sz w:val="24"/>
          <w:szCs w:val="24"/>
        </w:rPr>
        <w:t>in</w:t>
      </w:r>
      <w:proofErr w:type="spellEnd"/>
      <w:r w:rsidRPr="006C4A45">
        <w:rPr>
          <w:rFonts w:ascii="Times New Roman" w:hAnsi="Times New Roman"/>
          <w:i/>
          <w:iCs/>
          <w:sz w:val="24"/>
          <w:szCs w:val="24"/>
        </w:rPr>
        <w:t xml:space="preserve"> </w:t>
      </w:r>
      <w:proofErr w:type="spellStart"/>
      <w:r w:rsidRPr="006C4A45">
        <w:rPr>
          <w:rFonts w:ascii="Times New Roman" w:hAnsi="Times New Roman"/>
          <w:i/>
          <w:iCs/>
          <w:sz w:val="24"/>
          <w:szCs w:val="24"/>
        </w:rPr>
        <w:t>vivo</w:t>
      </w:r>
      <w:proofErr w:type="spellEnd"/>
      <w:r w:rsidRPr="006C4A45">
        <w:rPr>
          <w:rFonts w:ascii="Times New Roman" w:hAnsi="Times New Roman"/>
          <w:sz w:val="24"/>
          <w:szCs w:val="24"/>
        </w:rPr>
        <w:t>.</w:t>
      </w:r>
    </w:p>
    <w:p w14:paraId="14AC6822" w14:textId="77777777" w:rsidR="00DF7618" w:rsidRPr="006C4A45" w:rsidRDefault="00DF7618" w:rsidP="00DF7618">
      <w:pPr>
        <w:autoSpaceDE w:val="0"/>
        <w:autoSpaceDN w:val="0"/>
        <w:adjustRightInd w:val="0"/>
        <w:spacing w:after="0" w:line="240" w:lineRule="auto"/>
        <w:jc w:val="both"/>
        <w:rPr>
          <w:rFonts w:ascii="Times New Roman" w:hAnsi="Times New Roman"/>
          <w:iCs/>
          <w:sz w:val="24"/>
          <w:szCs w:val="24"/>
          <w:lang w:eastAsia="ru-RU"/>
        </w:rPr>
      </w:pPr>
      <w:r w:rsidRPr="006C4A45">
        <w:rPr>
          <w:rFonts w:ascii="Times New Roman" w:hAnsi="Times New Roman"/>
          <w:iCs/>
          <w:sz w:val="24"/>
          <w:szCs w:val="24"/>
          <w:lang w:eastAsia="ru-RU"/>
        </w:rPr>
        <w:t xml:space="preserve">Исследования, проведенные на беременных крысах и кроликах при подкожном введении </w:t>
      </w:r>
      <w:proofErr w:type="spellStart"/>
      <w:r w:rsidRPr="006C4A45">
        <w:rPr>
          <w:rFonts w:ascii="Times New Roman" w:hAnsi="Times New Roman"/>
          <w:iCs/>
          <w:sz w:val="24"/>
          <w:szCs w:val="24"/>
          <w:lang w:eastAsia="ru-RU"/>
        </w:rPr>
        <w:t>эноксапарина</w:t>
      </w:r>
      <w:proofErr w:type="spellEnd"/>
      <w:r w:rsidRPr="006C4A45">
        <w:rPr>
          <w:rFonts w:ascii="Times New Roman" w:hAnsi="Times New Roman"/>
          <w:iCs/>
          <w:sz w:val="24"/>
          <w:szCs w:val="24"/>
          <w:lang w:eastAsia="ru-RU"/>
        </w:rPr>
        <w:t xml:space="preserve"> натрия в дозах до 30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 xml:space="preserve">, не выявили каких-либо данных тератогенного действия или </w:t>
      </w:r>
      <w:proofErr w:type="spellStart"/>
      <w:r w:rsidRPr="006C4A45">
        <w:rPr>
          <w:rFonts w:ascii="Times New Roman" w:hAnsi="Times New Roman"/>
          <w:iCs/>
          <w:sz w:val="24"/>
          <w:szCs w:val="24"/>
          <w:lang w:eastAsia="ru-RU"/>
        </w:rPr>
        <w:t>фетотоксичности</w:t>
      </w:r>
      <w:proofErr w:type="spellEnd"/>
      <w:r w:rsidRPr="006C4A45">
        <w:rPr>
          <w:rFonts w:ascii="Times New Roman" w:hAnsi="Times New Roman"/>
          <w:iCs/>
          <w:sz w:val="24"/>
          <w:szCs w:val="24"/>
          <w:lang w:eastAsia="ru-RU"/>
        </w:rPr>
        <w:t xml:space="preserve">. Было обнаружено, что </w:t>
      </w:r>
      <w:proofErr w:type="spellStart"/>
      <w:r w:rsidRPr="006C4A45">
        <w:rPr>
          <w:rFonts w:ascii="Times New Roman" w:hAnsi="Times New Roman"/>
          <w:iCs/>
          <w:sz w:val="24"/>
          <w:szCs w:val="24"/>
          <w:lang w:eastAsia="ru-RU"/>
        </w:rPr>
        <w:t>Эноксапарин</w:t>
      </w:r>
      <w:proofErr w:type="spellEnd"/>
      <w:r w:rsidRPr="006C4A45">
        <w:rPr>
          <w:rFonts w:ascii="Times New Roman" w:hAnsi="Times New Roman"/>
          <w:iCs/>
          <w:sz w:val="24"/>
          <w:szCs w:val="24"/>
          <w:lang w:eastAsia="ru-RU"/>
        </w:rPr>
        <w:t xml:space="preserve"> натрия не оказывает влияния на фертильность или репродуктивную функцию самцов и самок крыс в подкожных дозах до 20 мг/кг/</w:t>
      </w:r>
      <w:proofErr w:type="spellStart"/>
      <w:r w:rsidRPr="006C4A45">
        <w:rPr>
          <w:rFonts w:ascii="Times New Roman" w:hAnsi="Times New Roman"/>
          <w:iCs/>
          <w:sz w:val="24"/>
          <w:szCs w:val="24"/>
          <w:lang w:eastAsia="ru-RU"/>
        </w:rPr>
        <w:t>сут</w:t>
      </w:r>
      <w:proofErr w:type="spellEnd"/>
      <w:r w:rsidRPr="006C4A45">
        <w:rPr>
          <w:rFonts w:ascii="Times New Roman" w:hAnsi="Times New Roman"/>
          <w:iCs/>
          <w:sz w:val="24"/>
          <w:szCs w:val="24"/>
          <w:lang w:eastAsia="ru-RU"/>
        </w:rPr>
        <w:t>.</w:t>
      </w:r>
    </w:p>
    <w:p w14:paraId="3523A79C" w14:textId="77777777" w:rsidR="00DF7618" w:rsidRPr="006C4A45" w:rsidRDefault="00DF7618" w:rsidP="00DF7618">
      <w:pPr>
        <w:autoSpaceDE w:val="0"/>
        <w:autoSpaceDN w:val="0"/>
        <w:adjustRightInd w:val="0"/>
        <w:spacing w:after="0" w:line="240" w:lineRule="auto"/>
        <w:jc w:val="both"/>
        <w:rPr>
          <w:rFonts w:ascii="Times New Roman" w:hAnsi="Times New Roman"/>
          <w:b/>
          <w:sz w:val="24"/>
          <w:szCs w:val="24"/>
          <w:lang w:eastAsia="ru-RU"/>
        </w:rPr>
      </w:pPr>
    </w:p>
    <w:p w14:paraId="7274864A" w14:textId="77777777" w:rsidR="00A72229" w:rsidRPr="006C4A45" w:rsidRDefault="00B56A9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 ФАРМАЦЕВТИЧЕСКИЕ СВОЙСТВА</w:t>
      </w:r>
    </w:p>
    <w:p w14:paraId="7B50C4C8"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6.1. П</w:t>
      </w:r>
      <w:r w:rsidR="00B56A91" w:rsidRPr="006C4A45">
        <w:rPr>
          <w:rFonts w:ascii="Times New Roman" w:hAnsi="Times New Roman" w:cs="Times New Roman"/>
          <w:b/>
          <w:sz w:val="24"/>
          <w:szCs w:val="24"/>
        </w:rPr>
        <w:t>еречень вспомогательных веществ</w:t>
      </w:r>
    </w:p>
    <w:p w14:paraId="649A2F41"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 xml:space="preserve">кислота </w:t>
      </w:r>
      <w:proofErr w:type="spellStart"/>
      <w:r w:rsidRPr="006C4A45">
        <w:rPr>
          <w:rFonts w:ascii="Times New Roman" w:hAnsi="Times New Roman" w:cs="Times New Roman"/>
          <w:sz w:val="24"/>
          <w:szCs w:val="24"/>
        </w:rPr>
        <w:t>хлороводородная</w:t>
      </w:r>
      <w:proofErr w:type="spellEnd"/>
      <w:r w:rsidRPr="006C4A45">
        <w:rPr>
          <w:rFonts w:ascii="Times New Roman" w:hAnsi="Times New Roman" w:cs="Times New Roman"/>
          <w:sz w:val="24"/>
          <w:szCs w:val="24"/>
        </w:rPr>
        <w:t xml:space="preserve"> (для коррекции рН)</w:t>
      </w:r>
    </w:p>
    <w:p w14:paraId="0A13C189"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натрия гидроксид (для коррекции рН)</w:t>
      </w:r>
    </w:p>
    <w:p w14:paraId="32F44DFB" w14:textId="77777777" w:rsidR="004A1839" w:rsidRPr="006C4A45" w:rsidRDefault="004A183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вода для инъекций</w:t>
      </w:r>
    </w:p>
    <w:p w14:paraId="61606C46" w14:textId="77777777" w:rsidR="001B3846" w:rsidRPr="006C4A45" w:rsidRDefault="001B3846" w:rsidP="00A75F5E">
      <w:pPr>
        <w:spacing w:after="0" w:line="240" w:lineRule="auto"/>
        <w:jc w:val="both"/>
        <w:rPr>
          <w:rFonts w:ascii="Times New Roman" w:hAnsi="Times New Roman" w:cs="Times New Roman"/>
          <w:sz w:val="24"/>
          <w:szCs w:val="24"/>
        </w:rPr>
      </w:pPr>
    </w:p>
    <w:p w14:paraId="4B26AE51"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6.2. Несо</w:t>
      </w:r>
      <w:r w:rsidR="007B4071" w:rsidRPr="006C4A45">
        <w:rPr>
          <w:rFonts w:ascii="Times New Roman" w:hAnsi="Times New Roman" w:cs="Times New Roman"/>
          <w:b/>
          <w:sz w:val="24"/>
          <w:szCs w:val="24"/>
        </w:rPr>
        <w:t>вместимость</w:t>
      </w:r>
    </w:p>
    <w:p w14:paraId="25FA410E" w14:textId="1E2B546B" w:rsidR="00A72229" w:rsidRPr="006C4A45" w:rsidRDefault="00A7222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Неизвестно.</w:t>
      </w:r>
    </w:p>
    <w:p w14:paraId="0C9E7195" w14:textId="77777777" w:rsidR="007B4071" w:rsidRPr="006C4A45" w:rsidRDefault="007B4071" w:rsidP="00A75F5E">
      <w:pPr>
        <w:spacing w:after="0" w:line="240" w:lineRule="auto"/>
        <w:jc w:val="both"/>
        <w:rPr>
          <w:rFonts w:ascii="Times New Roman" w:hAnsi="Times New Roman" w:cs="Times New Roman"/>
          <w:sz w:val="24"/>
          <w:szCs w:val="24"/>
        </w:rPr>
      </w:pPr>
    </w:p>
    <w:p w14:paraId="35781D26" w14:textId="77777777" w:rsidR="00A72229" w:rsidRPr="006C4A45" w:rsidRDefault="00A72229"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6.3. Срок годности </w:t>
      </w:r>
    </w:p>
    <w:p w14:paraId="5C03013C" w14:textId="77777777" w:rsidR="00A72229" w:rsidRPr="006C4A45" w:rsidRDefault="00A351F7"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3</w:t>
      </w:r>
      <w:r w:rsidR="00A72229" w:rsidRPr="006C4A45">
        <w:rPr>
          <w:rFonts w:ascii="Times New Roman" w:hAnsi="Times New Roman" w:cs="Times New Roman"/>
          <w:sz w:val="24"/>
          <w:szCs w:val="24"/>
        </w:rPr>
        <w:t xml:space="preserve"> года</w:t>
      </w:r>
    </w:p>
    <w:p w14:paraId="7A53511B" w14:textId="77777777" w:rsidR="007B4071" w:rsidRPr="006C4A45" w:rsidRDefault="007B4071"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Не применять по истечении срока годности.</w:t>
      </w:r>
    </w:p>
    <w:p w14:paraId="695B71BE" w14:textId="77777777" w:rsidR="007B4071" w:rsidRPr="006C4A45" w:rsidRDefault="007B4071" w:rsidP="00A75F5E">
      <w:pPr>
        <w:spacing w:after="0" w:line="240" w:lineRule="auto"/>
        <w:jc w:val="both"/>
        <w:rPr>
          <w:rFonts w:ascii="Times New Roman" w:hAnsi="Times New Roman" w:cs="Times New Roman"/>
          <w:sz w:val="24"/>
          <w:szCs w:val="24"/>
        </w:rPr>
      </w:pPr>
    </w:p>
    <w:p w14:paraId="74276674" w14:textId="77777777" w:rsidR="00A72229" w:rsidRPr="006C4A45" w:rsidRDefault="007B407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 xml:space="preserve">6.4. </w:t>
      </w:r>
      <w:r w:rsidR="00A72229" w:rsidRPr="006C4A45">
        <w:rPr>
          <w:rFonts w:ascii="Times New Roman" w:hAnsi="Times New Roman" w:cs="Times New Roman"/>
          <w:b/>
          <w:sz w:val="24"/>
          <w:szCs w:val="24"/>
        </w:rPr>
        <w:t>Особые мер</w:t>
      </w:r>
      <w:r w:rsidRPr="006C4A45">
        <w:rPr>
          <w:rFonts w:ascii="Times New Roman" w:hAnsi="Times New Roman" w:cs="Times New Roman"/>
          <w:b/>
          <w:sz w:val="24"/>
          <w:szCs w:val="24"/>
        </w:rPr>
        <w:t>ы предосторожности при хранении</w:t>
      </w:r>
    </w:p>
    <w:p w14:paraId="26926794" w14:textId="77777777" w:rsidR="00A72229" w:rsidRPr="006C4A45" w:rsidRDefault="00A72229"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Хранить в сухом, защищенном от света месте</w:t>
      </w:r>
      <w:r w:rsidR="005D15DC" w:rsidRPr="006C4A45">
        <w:rPr>
          <w:rFonts w:ascii="Times New Roman" w:hAnsi="Times New Roman" w:cs="Times New Roman"/>
          <w:sz w:val="24"/>
          <w:szCs w:val="24"/>
        </w:rPr>
        <w:t>,</w:t>
      </w:r>
      <w:r w:rsidRPr="006C4A45">
        <w:rPr>
          <w:rFonts w:ascii="Times New Roman" w:hAnsi="Times New Roman" w:cs="Times New Roman"/>
          <w:sz w:val="24"/>
          <w:szCs w:val="24"/>
        </w:rPr>
        <w:t xml:space="preserve"> при температуре не выше 30 </w:t>
      </w:r>
      <w:r w:rsidRPr="006C4A45">
        <w:rPr>
          <w:rFonts w:ascii="Times New Roman" w:hAnsi="Times New Roman" w:cs="Times New Roman"/>
          <w:sz w:val="24"/>
          <w:szCs w:val="24"/>
          <w:vertAlign w:val="superscript"/>
        </w:rPr>
        <w:t>0</w:t>
      </w:r>
      <w:r w:rsidRPr="006C4A45">
        <w:rPr>
          <w:rFonts w:ascii="Times New Roman" w:hAnsi="Times New Roman" w:cs="Times New Roman"/>
          <w:sz w:val="24"/>
          <w:szCs w:val="24"/>
        </w:rPr>
        <w:t>С.</w:t>
      </w:r>
    </w:p>
    <w:p w14:paraId="599C60EC" w14:textId="77777777" w:rsidR="007B4071" w:rsidRPr="006C4A45" w:rsidRDefault="007B4071" w:rsidP="00A75F5E">
      <w:pPr>
        <w:spacing w:after="0" w:line="240" w:lineRule="auto"/>
        <w:jc w:val="both"/>
        <w:rPr>
          <w:rFonts w:ascii="Times New Roman" w:hAnsi="Times New Roman" w:cs="Times New Roman"/>
          <w:sz w:val="24"/>
          <w:szCs w:val="24"/>
        </w:rPr>
      </w:pPr>
      <w:r w:rsidRPr="006C4A45">
        <w:rPr>
          <w:rFonts w:ascii="Times New Roman" w:hAnsi="Times New Roman" w:cs="Times New Roman"/>
          <w:sz w:val="24"/>
          <w:szCs w:val="24"/>
        </w:rPr>
        <w:t>Хранить в недоступном для детей месте!</w:t>
      </w:r>
    </w:p>
    <w:p w14:paraId="5F3F1480" w14:textId="77777777" w:rsidR="007B4071" w:rsidRPr="006C4A45" w:rsidRDefault="007B4071" w:rsidP="00A75F5E">
      <w:pPr>
        <w:spacing w:after="0" w:line="240" w:lineRule="auto"/>
        <w:jc w:val="both"/>
        <w:rPr>
          <w:rFonts w:ascii="Times New Roman" w:hAnsi="Times New Roman" w:cs="Times New Roman"/>
          <w:sz w:val="24"/>
          <w:szCs w:val="24"/>
        </w:rPr>
      </w:pPr>
    </w:p>
    <w:p w14:paraId="12025961" w14:textId="77777777" w:rsidR="00A72229" w:rsidRPr="006C4A45" w:rsidRDefault="007B4071" w:rsidP="00A75F5E">
      <w:pPr>
        <w:spacing w:after="0" w:line="240" w:lineRule="auto"/>
        <w:jc w:val="both"/>
        <w:rPr>
          <w:rFonts w:ascii="Times New Roman" w:hAnsi="Times New Roman" w:cs="Times New Roman"/>
          <w:b/>
          <w:sz w:val="24"/>
          <w:szCs w:val="24"/>
        </w:rPr>
      </w:pPr>
      <w:r w:rsidRPr="006C4A45">
        <w:rPr>
          <w:rFonts w:ascii="Times New Roman" w:hAnsi="Times New Roman" w:cs="Times New Roman"/>
          <w:b/>
          <w:sz w:val="24"/>
          <w:szCs w:val="24"/>
        </w:rPr>
        <w:t>6.5. Форма выпуска и упаковка</w:t>
      </w:r>
    </w:p>
    <w:p w14:paraId="7F2BA0C5" w14:textId="77777777" w:rsidR="007C644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0.2 мл и 0.4 мл препарата в шприцы из бесцветного стекла тип 1 ФСША.</w:t>
      </w:r>
    </w:p>
    <w:p w14:paraId="47C3B128" w14:textId="77777777" w:rsidR="007C644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1 шприцу помещают в пластиковый контейнер. По 1 контейнеру вместе с инструкцией по медицинскому применению на казахском и русском языках вкладывают в картонную пачку.</w:t>
      </w:r>
    </w:p>
    <w:p w14:paraId="397034A8" w14:textId="77777777" w:rsidR="00A351F7" w:rsidRPr="006C4A45" w:rsidRDefault="007C6447" w:rsidP="007C6447">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По 2 шприца помещают в пластиковый контейнер. По 5 контейнеров вместе с инструкцией по медицинскому применению на казахском и русском языках вкладывают в картонную пачку.</w:t>
      </w:r>
    </w:p>
    <w:p w14:paraId="20A0E4CE" w14:textId="77777777" w:rsidR="00B70E53" w:rsidRPr="006C4A45" w:rsidRDefault="00B70E53" w:rsidP="007C6447">
      <w:pPr>
        <w:spacing w:after="0" w:line="240" w:lineRule="auto"/>
        <w:jc w:val="both"/>
        <w:rPr>
          <w:rFonts w:ascii="Times New Roman" w:hAnsi="Times New Roman" w:cs="Times New Roman"/>
          <w:bCs/>
          <w:sz w:val="24"/>
          <w:szCs w:val="24"/>
        </w:rPr>
      </w:pPr>
    </w:p>
    <w:p w14:paraId="57766928" w14:textId="77777777" w:rsidR="00A72229" w:rsidRPr="006C4A45" w:rsidRDefault="00A72229" w:rsidP="001847E4">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6.6</w:t>
      </w:r>
      <w:r w:rsidR="007B4071" w:rsidRPr="006C4A45">
        <w:rPr>
          <w:rFonts w:ascii="Times New Roman" w:hAnsi="Times New Roman" w:cs="Times New Roman"/>
          <w:b/>
          <w:bCs/>
          <w:sz w:val="24"/>
          <w:szCs w:val="24"/>
        </w:rPr>
        <w:t xml:space="preserve">. </w:t>
      </w:r>
      <w:r w:rsidRPr="006C4A45">
        <w:rPr>
          <w:rFonts w:ascii="Times New Roman" w:hAnsi="Times New Roman" w:cs="Times New Roman"/>
          <w:b/>
          <w:bCs/>
          <w:sz w:val="24"/>
          <w:szCs w:val="24"/>
        </w:rPr>
        <w:t>Особые меры предосторожности при уничтожении использованного лекарственного препарата или отходов, полученных после применения лекарствен</w:t>
      </w:r>
      <w:r w:rsidR="007B4071" w:rsidRPr="006C4A45">
        <w:rPr>
          <w:rFonts w:ascii="Times New Roman" w:hAnsi="Times New Roman" w:cs="Times New Roman"/>
          <w:b/>
          <w:bCs/>
          <w:sz w:val="24"/>
          <w:szCs w:val="24"/>
        </w:rPr>
        <w:t>ного препарата или работы с ним</w:t>
      </w:r>
    </w:p>
    <w:p w14:paraId="74AD17D1" w14:textId="77777777" w:rsidR="00A72229" w:rsidRPr="006C4A45" w:rsidRDefault="00A72229" w:rsidP="00A75F5E">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Весь оставшийся лекарственный препарат и отходы следует уничтожить в установленном порядке.</w:t>
      </w:r>
    </w:p>
    <w:p w14:paraId="2F77A988" w14:textId="77777777" w:rsidR="007B4071" w:rsidRPr="006C4A45" w:rsidRDefault="007B4071" w:rsidP="00A75F5E">
      <w:pPr>
        <w:spacing w:after="0" w:line="240" w:lineRule="auto"/>
        <w:jc w:val="both"/>
        <w:rPr>
          <w:rFonts w:ascii="Times New Roman" w:hAnsi="Times New Roman" w:cs="Times New Roman"/>
          <w:bCs/>
          <w:sz w:val="24"/>
          <w:szCs w:val="24"/>
        </w:rPr>
      </w:pPr>
    </w:p>
    <w:p w14:paraId="1CAFA2F2" w14:textId="77777777" w:rsidR="007B4071" w:rsidRPr="006C4A45" w:rsidRDefault="007B4071" w:rsidP="00A75F5E">
      <w:pPr>
        <w:autoSpaceDE w:val="0"/>
        <w:autoSpaceDN w:val="0"/>
        <w:adjustRightInd w:val="0"/>
        <w:spacing w:after="0" w:line="240" w:lineRule="auto"/>
        <w:jc w:val="both"/>
        <w:rPr>
          <w:rFonts w:ascii="Times New Roman" w:hAnsi="Times New Roman" w:cs="Times New Roman"/>
          <w:b/>
          <w:bCs/>
          <w:sz w:val="24"/>
          <w:szCs w:val="28"/>
        </w:rPr>
      </w:pPr>
      <w:r w:rsidRPr="006C4A45">
        <w:rPr>
          <w:rFonts w:ascii="Times New Roman" w:hAnsi="Times New Roman" w:cs="Times New Roman"/>
          <w:b/>
          <w:bCs/>
          <w:sz w:val="24"/>
          <w:szCs w:val="28"/>
        </w:rPr>
        <w:t>6.7</w:t>
      </w:r>
      <w:r w:rsidR="00D77AE9" w:rsidRPr="006C4A45">
        <w:rPr>
          <w:rFonts w:ascii="Times New Roman" w:hAnsi="Times New Roman" w:cs="Times New Roman"/>
          <w:b/>
          <w:bCs/>
          <w:sz w:val="24"/>
          <w:szCs w:val="28"/>
        </w:rPr>
        <w:t>.</w:t>
      </w:r>
      <w:r w:rsidRPr="006C4A45">
        <w:rPr>
          <w:rFonts w:ascii="Times New Roman" w:hAnsi="Times New Roman" w:cs="Times New Roman"/>
          <w:b/>
          <w:bCs/>
          <w:sz w:val="24"/>
          <w:szCs w:val="28"/>
        </w:rPr>
        <w:t xml:space="preserve"> Условия отпуска из аптек </w:t>
      </w:r>
    </w:p>
    <w:p w14:paraId="190ADDE8" w14:textId="77777777" w:rsidR="007B4071" w:rsidRPr="006C4A45" w:rsidRDefault="007B4071" w:rsidP="00A75F5E">
      <w:pPr>
        <w:spacing w:after="0" w:line="240" w:lineRule="auto"/>
        <w:jc w:val="both"/>
        <w:rPr>
          <w:rFonts w:ascii="Times New Roman" w:hAnsi="Times New Roman" w:cs="Times New Roman"/>
          <w:bCs/>
          <w:sz w:val="24"/>
          <w:szCs w:val="28"/>
        </w:rPr>
      </w:pPr>
      <w:r w:rsidRPr="006C4A45">
        <w:rPr>
          <w:rFonts w:ascii="Times New Roman" w:hAnsi="Times New Roman" w:cs="Times New Roman"/>
          <w:bCs/>
          <w:sz w:val="24"/>
          <w:szCs w:val="28"/>
        </w:rPr>
        <w:t>По рецепту</w:t>
      </w:r>
    </w:p>
    <w:p w14:paraId="50EFC567" w14:textId="77777777" w:rsidR="007B4071" w:rsidRPr="006C4A45" w:rsidRDefault="007B4071" w:rsidP="00A75F5E">
      <w:pPr>
        <w:spacing w:after="0" w:line="240" w:lineRule="auto"/>
        <w:jc w:val="both"/>
        <w:rPr>
          <w:rFonts w:ascii="Times New Roman" w:hAnsi="Times New Roman" w:cs="Times New Roman"/>
          <w:bCs/>
          <w:szCs w:val="24"/>
        </w:rPr>
      </w:pPr>
    </w:p>
    <w:p w14:paraId="1974DC22" w14:textId="43D85A4E" w:rsidR="00FC66BA" w:rsidRPr="004E6E5B" w:rsidRDefault="007B4071" w:rsidP="00A75F5E">
      <w:pPr>
        <w:spacing w:after="0" w:line="240" w:lineRule="auto"/>
        <w:jc w:val="both"/>
        <w:rPr>
          <w:rFonts w:ascii="Times New Roman" w:hAnsi="Times New Roman" w:cs="Times New Roman"/>
          <w:b/>
          <w:bCs/>
          <w:sz w:val="24"/>
          <w:szCs w:val="24"/>
        </w:rPr>
      </w:pPr>
      <w:r w:rsidRPr="004E6E5B">
        <w:rPr>
          <w:rFonts w:ascii="Times New Roman" w:hAnsi="Times New Roman" w:cs="Times New Roman"/>
          <w:b/>
          <w:bCs/>
          <w:sz w:val="24"/>
          <w:szCs w:val="24"/>
        </w:rPr>
        <w:t>7.</w:t>
      </w:r>
      <w:r w:rsidRPr="006C4A45">
        <w:rPr>
          <w:rFonts w:ascii="Times New Roman" w:hAnsi="Times New Roman" w:cs="Times New Roman"/>
          <w:b/>
          <w:bCs/>
          <w:sz w:val="24"/>
          <w:szCs w:val="24"/>
          <w:lang w:val="en-US"/>
        </w:rPr>
        <w:t> </w:t>
      </w:r>
      <w:r w:rsidR="004E6E5B" w:rsidRPr="004E6E5B">
        <w:rPr>
          <w:rFonts w:ascii="Times New Roman" w:hAnsi="Times New Roman" w:cs="Times New Roman"/>
          <w:b/>
          <w:bCs/>
          <w:sz w:val="24"/>
          <w:szCs w:val="24"/>
        </w:rPr>
        <w:t>ДЕРЖАТЕЛЬ РЕГИСТРАЦИОННОГО УДОСТОВЕРЕНИЯ</w:t>
      </w:r>
    </w:p>
    <w:p w14:paraId="31F79778" w14:textId="77777777" w:rsidR="004E6E5B" w:rsidRPr="006C4A45" w:rsidRDefault="004E6E5B" w:rsidP="004E6E5B">
      <w:pPr>
        <w:spacing w:after="0" w:line="240" w:lineRule="auto"/>
        <w:jc w:val="both"/>
        <w:rPr>
          <w:rFonts w:ascii="Times New Roman" w:hAnsi="Times New Roman" w:cs="Times New Roman"/>
          <w:bCs/>
          <w:sz w:val="24"/>
          <w:szCs w:val="24"/>
        </w:rPr>
      </w:pPr>
      <w:r w:rsidRPr="006C4A45">
        <w:rPr>
          <w:rFonts w:ascii="Times New Roman" w:hAnsi="Times New Roman" w:cs="Times New Roman"/>
          <w:bCs/>
          <w:sz w:val="24"/>
          <w:szCs w:val="24"/>
        </w:rPr>
        <w:t>ТОО «</w:t>
      </w:r>
      <w:r w:rsidRPr="006C4A45">
        <w:rPr>
          <w:rFonts w:ascii="Times New Roman" w:hAnsi="Times New Roman" w:cs="Times New Roman"/>
          <w:bCs/>
          <w:sz w:val="24"/>
          <w:szCs w:val="24"/>
          <w:lang w:val="en-US"/>
        </w:rPr>
        <w:t>Rogers</w:t>
      </w:r>
      <w:r w:rsidRPr="006C4A45">
        <w:rPr>
          <w:rFonts w:ascii="Times New Roman" w:hAnsi="Times New Roman" w:cs="Times New Roman"/>
          <w:bCs/>
          <w:sz w:val="24"/>
          <w:szCs w:val="24"/>
        </w:rPr>
        <w:t xml:space="preserve"> </w:t>
      </w:r>
      <w:r w:rsidRPr="006C4A45">
        <w:rPr>
          <w:rFonts w:ascii="Times New Roman" w:hAnsi="Times New Roman" w:cs="Times New Roman"/>
          <w:bCs/>
          <w:sz w:val="24"/>
          <w:szCs w:val="24"/>
          <w:lang w:val="en-US"/>
        </w:rPr>
        <w:t>Pharma</w:t>
      </w:r>
      <w:r w:rsidRPr="006C4A45">
        <w:rPr>
          <w:rFonts w:ascii="Times New Roman" w:hAnsi="Times New Roman" w:cs="Times New Roman"/>
          <w:bCs/>
          <w:sz w:val="24"/>
          <w:szCs w:val="24"/>
        </w:rPr>
        <w:t>», Казахстан</w:t>
      </w:r>
    </w:p>
    <w:p w14:paraId="027AA0C7" w14:textId="77777777" w:rsidR="004E6E5B" w:rsidRPr="006C4A45" w:rsidRDefault="004E6E5B" w:rsidP="004E6E5B">
      <w:pPr>
        <w:spacing w:after="0" w:line="240" w:lineRule="auto"/>
        <w:jc w:val="both"/>
        <w:rPr>
          <w:rFonts w:ascii="Times New Roman" w:hAnsi="Times New Roman" w:cs="Times New Roman"/>
          <w:bCs/>
          <w:iCs/>
          <w:sz w:val="24"/>
          <w:szCs w:val="24"/>
        </w:rPr>
      </w:pPr>
      <w:r w:rsidRPr="006C4A45">
        <w:rPr>
          <w:rFonts w:ascii="Times New Roman" w:hAnsi="Times New Roman" w:cs="Times New Roman"/>
          <w:bCs/>
          <w:iCs/>
          <w:sz w:val="24"/>
          <w:szCs w:val="24"/>
        </w:rPr>
        <w:t xml:space="preserve">050043, г. Алматы, мкн. </w:t>
      </w:r>
      <w:proofErr w:type="spellStart"/>
      <w:r w:rsidRPr="006C4A45">
        <w:rPr>
          <w:rFonts w:ascii="Times New Roman" w:hAnsi="Times New Roman" w:cs="Times New Roman"/>
          <w:bCs/>
          <w:iCs/>
          <w:sz w:val="24"/>
          <w:szCs w:val="24"/>
        </w:rPr>
        <w:t>Мирас</w:t>
      </w:r>
      <w:proofErr w:type="spellEnd"/>
      <w:r w:rsidRPr="006C4A45">
        <w:rPr>
          <w:rFonts w:ascii="Times New Roman" w:hAnsi="Times New Roman" w:cs="Times New Roman"/>
          <w:bCs/>
          <w:iCs/>
          <w:sz w:val="24"/>
          <w:szCs w:val="24"/>
        </w:rPr>
        <w:t xml:space="preserve">, 157, </w:t>
      </w:r>
      <w:proofErr w:type="spellStart"/>
      <w:r w:rsidRPr="006C4A45">
        <w:rPr>
          <w:rFonts w:ascii="Times New Roman" w:hAnsi="Times New Roman" w:cs="Times New Roman"/>
          <w:bCs/>
          <w:iCs/>
          <w:sz w:val="24"/>
          <w:szCs w:val="24"/>
        </w:rPr>
        <w:t>н.п</w:t>
      </w:r>
      <w:proofErr w:type="spellEnd"/>
      <w:r w:rsidRPr="006C4A45">
        <w:rPr>
          <w:rFonts w:ascii="Times New Roman" w:hAnsi="Times New Roman" w:cs="Times New Roman"/>
          <w:bCs/>
          <w:iCs/>
          <w:sz w:val="24"/>
          <w:szCs w:val="24"/>
        </w:rPr>
        <w:t>. 819</w:t>
      </w:r>
    </w:p>
    <w:p w14:paraId="5C68E9F1" w14:textId="2F66C10E" w:rsidR="004E6E5B" w:rsidRPr="004E6E5B" w:rsidRDefault="004E6E5B" w:rsidP="00A75F5E">
      <w:pPr>
        <w:spacing w:after="0" w:line="240" w:lineRule="auto"/>
        <w:jc w:val="both"/>
        <w:rPr>
          <w:rFonts w:ascii="Times New Roman" w:hAnsi="Times New Roman" w:cs="Times New Roman"/>
          <w:bCs/>
          <w:iCs/>
          <w:sz w:val="24"/>
          <w:szCs w:val="24"/>
          <w:lang w:val="en-US"/>
        </w:rPr>
      </w:pPr>
      <w:r w:rsidRPr="006C4A45">
        <w:rPr>
          <w:rFonts w:ascii="Times New Roman" w:hAnsi="Times New Roman" w:cs="Times New Roman"/>
          <w:bCs/>
          <w:iCs/>
          <w:sz w:val="24"/>
          <w:szCs w:val="24"/>
        </w:rPr>
        <w:t>Тел</w:t>
      </w:r>
      <w:r w:rsidRPr="006C4A45">
        <w:rPr>
          <w:rFonts w:ascii="Times New Roman" w:hAnsi="Times New Roman" w:cs="Times New Roman"/>
          <w:bCs/>
          <w:iCs/>
          <w:sz w:val="24"/>
          <w:szCs w:val="24"/>
          <w:lang w:val="en-US"/>
        </w:rPr>
        <w:t xml:space="preserve">. (727) 311-81-96/97, e-mail: </w:t>
      </w:r>
      <w:hyperlink r:id="rId6" w:history="1">
        <w:r w:rsidRPr="006C4A45">
          <w:rPr>
            <w:rStyle w:val="a3"/>
            <w:rFonts w:ascii="Times New Roman" w:hAnsi="Times New Roman" w:cs="Times New Roman"/>
            <w:bCs/>
            <w:iCs/>
            <w:sz w:val="24"/>
            <w:szCs w:val="24"/>
            <w:lang w:val="en-US"/>
          </w:rPr>
          <w:t>office.secretary@rogersgroup.in</w:t>
        </w:r>
      </w:hyperlink>
    </w:p>
    <w:p w14:paraId="19698036" w14:textId="77777777" w:rsidR="004E6E5B" w:rsidRPr="009D1E5F" w:rsidRDefault="004E6E5B" w:rsidP="00A75F5E">
      <w:pPr>
        <w:spacing w:after="0" w:line="240" w:lineRule="auto"/>
        <w:jc w:val="both"/>
        <w:rPr>
          <w:rFonts w:ascii="Times New Roman" w:hAnsi="Times New Roman" w:cs="Times New Roman"/>
          <w:b/>
          <w:bCs/>
          <w:sz w:val="24"/>
          <w:szCs w:val="24"/>
          <w:lang w:val="en-US"/>
        </w:rPr>
      </w:pPr>
    </w:p>
    <w:p w14:paraId="092C0651" w14:textId="21A828EA" w:rsidR="00A72229" w:rsidRPr="006C4A45" w:rsidRDefault="00FC66BA"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7.1 </w:t>
      </w:r>
      <w:r w:rsidR="004E6E5B" w:rsidRPr="004E6E5B">
        <w:rPr>
          <w:rFonts w:ascii="Times New Roman" w:hAnsi="Times New Roman" w:cs="Times New Roman"/>
          <w:b/>
          <w:bCs/>
          <w:sz w:val="24"/>
          <w:szCs w:val="24"/>
        </w:rPr>
        <w:t>ПРЕДСТАВИТЕЛЬ ДЕРЖАТЕЛЯ РЕГИСТРАЦИОННОГО УДОСТОВЕРЕНИЯ</w:t>
      </w:r>
    </w:p>
    <w:p w14:paraId="50019A74" w14:textId="7A78E534" w:rsidR="009D1E5F" w:rsidRDefault="009D1E5F" w:rsidP="004E6E5B">
      <w:pPr>
        <w:spacing w:after="0" w:line="240" w:lineRule="auto"/>
        <w:jc w:val="both"/>
        <w:rPr>
          <w:rFonts w:ascii="Times New Roman" w:hAnsi="Times New Roman" w:cs="Times New Roman"/>
          <w:bCs/>
          <w:iCs/>
          <w:sz w:val="24"/>
          <w:szCs w:val="24"/>
        </w:rPr>
      </w:pPr>
      <w:r w:rsidRPr="009D1E5F">
        <w:rPr>
          <w:rFonts w:ascii="Times New Roman" w:hAnsi="Times New Roman" w:cs="Times New Roman"/>
          <w:bCs/>
          <w:iCs/>
          <w:sz w:val="24"/>
          <w:szCs w:val="24"/>
        </w:rPr>
        <w:t>Претензии потребителей направлять по адресу:</w:t>
      </w:r>
    </w:p>
    <w:p w14:paraId="01A37A35" w14:textId="5D9248D9" w:rsidR="004E6E5B" w:rsidRPr="004E6E5B" w:rsidRDefault="004E6E5B" w:rsidP="004E6E5B">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ТОО «</w:t>
      </w:r>
      <w:r w:rsidRPr="004E6E5B">
        <w:rPr>
          <w:rFonts w:ascii="Times New Roman" w:hAnsi="Times New Roman" w:cs="Times New Roman"/>
          <w:bCs/>
          <w:iCs/>
          <w:sz w:val="24"/>
          <w:szCs w:val="24"/>
          <w:lang w:val="en-US"/>
        </w:rPr>
        <w:t>Rogers</w:t>
      </w:r>
      <w:r w:rsidRPr="004E6E5B">
        <w:rPr>
          <w:rFonts w:ascii="Times New Roman" w:hAnsi="Times New Roman" w:cs="Times New Roman"/>
          <w:bCs/>
          <w:iCs/>
          <w:sz w:val="24"/>
          <w:szCs w:val="24"/>
        </w:rPr>
        <w:t xml:space="preserve"> </w:t>
      </w:r>
      <w:r w:rsidRPr="004E6E5B">
        <w:rPr>
          <w:rFonts w:ascii="Times New Roman" w:hAnsi="Times New Roman" w:cs="Times New Roman"/>
          <w:bCs/>
          <w:iCs/>
          <w:sz w:val="24"/>
          <w:szCs w:val="24"/>
          <w:lang w:val="en-US"/>
        </w:rPr>
        <w:t>Pharma</w:t>
      </w:r>
      <w:r w:rsidRPr="004E6E5B">
        <w:rPr>
          <w:rFonts w:ascii="Times New Roman" w:hAnsi="Times New Roman" w:cs="Times New Roman"/>
          <w:bCs/>
          <w:iCs/>
          <w:sz w:val="24"/>
          <w:szCs w:val="24"/>
        </w:rPr>
        <w:t>», Казахстан</w:t>
      </w:r>
    </w:p>
    <w:p w14:paraId="7793E75E" w14:textId="77777777" w:rsidR="004E6E5B" w:rsidRPr="004E6E5B" w:rsidRDefault="004E6E5B" w:rsidP="004E6E5B">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 xml:space="preserve">050043, г. Алматы, мкн. </w:t>
      </w:r>
      <w:proofErr w:type="spellStart"/>
      <w:r w:rsidRPr="004E6E5B">
        <w:rPr>
          <w:rFonts w:ascii="Times New Roman" w:hAnsi="Times New Roman" w:cs="Times New Roman"/>
          <w:bCs/>
          <w:iCs/>
          <w:sz w:val="24"/>
          <w:szCs w:val="24"/>
        </w:rPr>
        <w:t>Мирас</w:t>
      </w:r>
      <w:proofErr w:type="spellEnd"/>
      <w:r w:rsidRPr="004E6E5B">
        <w:rPr>
          <w:rFonts w:ascii="Times New Roman" w:hAnsi="Times New Roman" w:cs="Times New Roman"/>
          <w:bCs/>
          <w:iCs/>
          <w:sz w:val="24"/>
          <w:szCs w:val="24"/>
        </w:rPr>
        <w:t xml:space="preserve">, 157, </w:t>
      </w:r>
      <w:proofErr w:type="spellStart"/>
      <w:r w:rsidRPr="004E6E5B">
        <w:rPr>
          <w:rFonts w:ascii="Times New Roman" w:hAnsi="Times New Roman" w:cs="Times New Roman"/>
          <w:bCs/>
          <w:iCs/>
          <w:sz w:val="24"/>
          <w:szCs w:val="24"/>
        </w:rPr>
        <w:t>н.п</w:t>
      </w:r>
      <w:proofErr w:type="spellEnd"/>
      <w:r w:rsidRPr="004E6E5B">
        <w:rPr>
          <w:rFonts w:ascii="Times New Roman" w:hAnsi="Times New Roman" w:cs="Times New Roman"/>
          <w:bCs/>
          <w:iCs/>
          <w:sz w:val="24"/>
          <w:szCs w:val="24"/>
        </w:rPr>
        <w:t>. 819</w:t>
      </w:r>
    </w:p>
    <w:p w14:paraId="1571E9DE" w14:textId="632B152A" w:rsidR="00FC66BA" w:rsidRPr="009D1E5F" w:rsidRDefault="004E6E5B" w:rsidP="00A75F5E">
      <w:pPr>
        <w:spacing w:after="0" w:line="240" w:lineRule="auto"/>
        <w:jc w:val="both"/>
        <w:rPr>
          <w:rFonts w:ascii="Times New Roman" w:hAnsi="Times New Roman" w:cs="Times New Roman"/>
          <w:bCs/>
          <w:iCs/>
          <w:sz w:val="24"/>
          <w:szCs w:val="24"/>
        </w:rPr>
      </w:pPr>
      <w:r w:rsidRPr="004E6E5B">
        <w:rPr>
          <w:rFonts w:ascii="Times New Roman" w:hAnsi="Times New Roman" w:cs="Times New Roman"/>
          <w:bCs/>
          <w:iCs/>
          <w:sz w:val="24"/>
          <w:szCs w:val="24"/>
        </w:rPr>
        <w:t>Тел</w:t>
      </w:r>
      <w:r w:rsidRPr="009D1E5F">
        <w:rPr>
          <w:rFonts w:ascii="Times New Roman" w:hAnsi="Times New Roman" w:cs="Times New Roman"/>
          <w:bCs/>
          <w:iCs/>
          <w:sz w:val="24"/>
          <w:szCs w:val="24"/>
        </w:rPr>
        <w:t xml:space="preserve">. (727) 311-81-96/97, </w:t>
      </w:r>
      <w:r w:rsidRPr="004E6E5B">
        <w:rPr>
          <w:rFonts w:ascii="Times New Roman" w:hAnsi="Times New Roman" w:cs="Times New Roman"/>
          <w:bCs/>
          <w:iCs/>
          <w:sz w:val="24"/>
          <w:szCs w:val="24"/>
          <w:lang w:val="en-US"/>
        </w:rPr>
        <w:t>e</w:t>
      </w:r>
      <w:r w:rsidRPr="009D1E5F">
        <w:rPr>
          <w:rFonts w:ascii="Times New Roman" w:hAnsi="Times New Roman" w:cs="Times New Roman"/>
          <w:bCs/>
          <w:iCs/>
          <w:sz w:val="24"/>
          <w:szCs w:val="24"/>
        </w:rPr>
        <w:t>-</w:t>
      </w:r>
      <w:r w:rsidRPr="004E6E5B">
        <w:rPr>
          <w:rFonts w:ascii="Times New Roman" w:hAnsi="Times New Roman" w:cs="Times New Roman"/>
          <w:bCs/>
          <w:iCs/>
          <w:sz w:val="24"/>
          <w:szCs w:val="24"/>
          <w:lang w:val="en-US"/>
        </w:rPr>
        <w:t>mail</w:t>
      </w:r>
      <w:r w:rsidRPr="009D1E5F">
        <w:rPr>
          <w:rFonts w:ascii="Times New Roman" w:hAnsi="Times New Roman" w:cs="Times New Roman"/>
          <w:bCs/>
          <w:iCs/>
          <w:sz w:val="24"/>
          <w:szCs w:val="24"/>
        </w:rPr>
        <w:t xml:space="preserve">: </w:t>
      </w:r>
      <w:hyperlink r:id="rId7" w:history="1">
        <w:r w:rsidRPr="004E6E5B">
          <w:rPr>
            <w:rStyle w:val="a3"/>
            <w:rFonts w:ascii="Times New Roman" w:hAnsi="Times New Roman" w:cs="Times New Roman"/>
            <w:bCs/>
            <w:iCs/>
            <w:sz w:val="24"/>
            <w:szCs w:val="24"/>
            <w:lang w:val="en-US"/>
          </w:rPr>
          <w:t>office</w:t>
        </w:r>
        <w:r w:rsidRPr="009D1E5F">
          <w:rPr>
            <w:rStyle w:val="a3"/>
            <w:rFonts w:ascii="Times New Roman" w:hAnsi="Times New Roman" w:cs="Times New Roman"/>
            <w:bCs/>
            <w:iCs/>
            <w:sz w:val="24"/>
            <w:szCs w:val="24"/>
          </w:rPr>
          <w:t>.</w:t>
        </w:r>
        <w:r w:rsidRPr="004E6E5B">
          <w:rPr>
            <w:rStyle w:val="a3"/>
            <w:rFonts w:ascii="Times New Roman" w:hAnsi="Times New Roman" w:cs="Times New Roman"/>
            <w:bCs/>
            <w:iCs/>
            <w:sz w:val="24"/>
            <w:szCs w:val="24"/>
            <w:lang w:val="en-US"/>
          </w:rPr>
          <w:t>secretary</w:t>
        </w:r>
        <w:r w:rsidRPr="009D1E5F">
          <w:rPr>
            <w:rStyle w:val="a3"/>
            <w:rFonts w:ascii="Times New Roman" w:hAnsi="Times New Roman" w:cs="Times New Roman"/>
            <w:bCs/>
            <w:iCs/>
            <w:sz w:val="24"/>
            <w:szCs w:val="24"/>
          </w:rPr>
          <w:t>@</w:t>
        </w:r>
        <w:proofErr w:type="spellStart"/>
        <w:r w:rsidRPr="004E6E5B">
          <w:rPr>
            <w:rStyle w:val="a3"/>
            <w:rFonts w:ascii="Times New Roman" w:hAnsi="Times New Roman" w:cs="Times New Roman"/>
            <w:bCs/>
            <w:iCs/>
            <w:sz w:val="24"/>
            <w:szCs w:val="24"/>
            <w:lang w:val="en-US"/>
          </w:rPr>
          <w:t>rogersgroup</w:t>
        </w:r>
        <w:proofErr w:type="spellEnd"/>
        <w:r w:rsidRPr="009D1E5F">
          <w:rPr>
            <w:rStyle w:val="a3"/>
            <w:rFonts w:ascii="Times New Roman" w:hAnsi="Times New Roman" w:cs="Times New Roman"/>
            <w:bCs/>
            <w:iCs/>
            <w:sz w:val="24"/>
            <w:szCs w:val="24"/>
          </w:rPr>
          <w:t>.</w:t>
        </w:r>
        <w:r w:rsidRPr="004E6E5B">
          <w:rPr>
            <w:rStyle w:val="a3"/>
            <w:rFonts w:ascii="Times New Roman" w:hAnsi="Times New Roman" w:cs="Times New Roman"/>
            <w:bCs/>
            <w:iCs/>
            <w:sz w:val="24"/>
            <w:szCs w:val="24"/>
            <w:lang w:val="en-US"/>
          </w:rPr>
          <w:t>in</w:t>
        </w:r>
      </w:hyperlink>
    </w:p>
    <w:p w14:paraId="1F9A6864" w14:textId="77777777" w:rsidR="004E6E5B" w:rsidRPr="009D1E5F" w:rsidRDefault="004E6E5B" w:rsidP="00A75F5E">
      <w:pPr>
        <w:spacing w:after="0" w:line="240" w:lineRule="auto"/>
        <w:jc w:val="both"/>
        <w:rPr>
          <w:rFonts w:ascii="Times New Roman" w:hAnsi="Times New Roman" w:cs="Times New Roman"/>
          <w:bCs/>
          <w:iCs/>
          <w:sz w:val="24"/>
          <w:szCs w:val="24"/>
        </w:rPr>
      </w:pPr>
    </w:p>
    <w:p w14:paraId="4E2596AE" w14:textId="77777777" w:rsidR="007B4071" w:rsidRPr="006C4A45" w:rsidRDefault="00A75F5E"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8. </w:t>
      </w:r>
      <w:r w:rsidR="007B4071" w:rsidRPr="006C4A45">
        <w:rPr>
          <w:rFonts w:ascii="Times New Roman" w:hAnsi="Times New Roman" w:cs="Times New Roman"/>
          <w:b/>
          <w:bCs/>
          <w:sz w:val="24"/>
          <w:szCs w:val="24"/>
        </w:rPr>
        <w:t>НОМЕР РЕГИСТРАЦИОННОГО УДОСТОВЕРЕНИЯ</w:t>
      </w:r>
    </w:p>
    <w:p w14:paraId="1312716C" w14:textId="77777777" w:rsidR="00BC3E61" w:rsidRPr="006C4A45" w:rsidRDefault="00BC3E61" w:rsidP="00BC3E61">
      <w:pPr>
        <w:spacing w:after="0" w:line="240" w:lineRule="auto"/>
        <w:rPr>
          <w:rFonts w:ascii="Times New Roman" w:eastAsia="Times New Roman" w:hAnsi="Times New Roman" w:cs="Times New Roman"/>
          <w:sz w:val="24"/>
          <w:szCs w:val="24"/>
          <w:lang w:eastAsia="ru-RU"/>
        </w:rPr>
      </w:pPr>
      <w:r w:rsidRPr="006C4A45">
        <w:rPr>
          <w:rFonts w:ascii="Times New Roman" w:eastAsia="Times New Roman" w:hAnsi="Times New Roman" w:cs="Times New Roman"/>
          <w:sz w:val="24"/>
          <w:szCs w:val="24"/>
          <w:lang w:val="kk-KZ" w:eastAsia="ru-RU"/>
        </w:rPr>
        <w:t>РК</w:t>
      </w:r>
      <w:r w:rsidRPr="006C4A45">
        <w:rPr>
          <w:rFonts w:ascii="Times New Roman" w:eastAsia="Times New Roman" w:hAnsi="Times New Roman" w:cs="Times New Roman"/>
          <w:sz w:val="24"/>
          <w:szCs w:val="24"/>
          <w:lang w:eastAsia="ru-RU"/>
        </w:rPr>
        <w:t>-ЛС-5№021375 (для дозировки 2000 анти-Ха МЕ/0.2 мл)</w:t>
      </w:r>
    </w:p>
    <w:p w14:paraId="4595F867" w14:textId="77777777" w:rsidR="00BC3E61" w:rsidRPr="006C4A45" w:rsidRDefault="00BC3E61" w:rsidP="00BC3E61">
      <w:pPr>
        <w:spacing w:after="0" w:line="240" w:lineRule="auto"/>
        <w:jc w:val="both"/>
        <w:rPr>
          <w:rFonts w:ascii="Times New Roman" w:hAnsi="Times New Roman" w:cs="Times New Roman"/>
          <w:b/>
          <w:bCs/>
          <w:sz w:val="24"/>
          <w:szCs w:val="24"/>
        </w:rPr>
      </w:pPr>
      <w:r w:rsidRPr="006C4A45">
        <w:rPr>
          <w:rFonts w:ascii="Times New Roman" w:eastAsia="Times New Roman" w:hAnsi="Times New Roman" w:cs="Times New Roman"/>
          <w:sz w:val="24"/>
          <w:szCs w:val="24"/>
          <w:lang w:val="kk-KZ" w:eastAsia="ru-RU"/>
        </w:rPr>
        <w:t>РК</w:t>
      </w:r>
      <w:r w:rsidRPr="006C4A45">
        <w:rPr>
          <w:rFonts w:ascii="Times New Roman" w:eastAsia="Times New Roman" w:hAnsi="Times New Roman" w:cs="Times New Roman"/>
          <w:sz w:val="24"/>
          <w:szCs w:val="24"/>
          <w:lang w:eastAsia="ru-RU"/>
        </w:rPr>
        <w:t>-ЛС-5№021376 (для дозировки 4000 анти-Ха МЕ/0.4 мл)</w:t>
      </w:r>
    </w:p>
    <w:p w14:paraId="25675BCA" w14:textId="77777777" w:rsidR="007B4071" w:rsidRPr="006C4A45" w:rsidRDefault="007B4071" w:rsidP="00A75F5E">
      <w:pPr>
        <w:spacing w:after="0" w:line="240" w:lineRule="auto"/>
        <w:jc w:val="both"/>
        <w:rPr>
          <w:rFonts w:ascii="Times New Roman" w:hAnsi="Times New Roman" w:cs="Times New Roman"/>
          <w:b/>
          <w:bCs/>
          <w:sz w:val="24"/>
          <w:szCs w:val="24"/>
        </w:rPr>
      </w:pPr>
    </w:p>
    <w:p w14:paraId="09391C18" w14:textId="77777777" w:rsidR="00A72229" w:rsidRPr="006C4A45" w:rsidRDefault="007B4071"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9. ДАТА ПЕРВИЧНОЙ РЕГИСТРАЦИИ (ПОДТВЕРЖДЕНИЯ РЕГИСТРАЦИИ, ПЕРЕРЕГИСТРАЦИИ)</w:t>
      </w:r>
    </w:p>
    <w:p w14:paraId="6EF771AC" w14:textId="77777777" w:rsidR="007B4071" w:rsidRPr="006C4A45" w:rsidRDefault="003837FF"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14.05.2015</w:t>
      </w:r>
    </w:p>
    <w:p w14:paraId="25D0D317" w14:textId="77777777" w:rsidR="007B4071" w:rsidRPr="006C4A45" w:rsidRDefault="007B4071"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 xml:space="preserve">Дата последнего подтверждения регистрации (перерегистрации): </w:t>
      </w:r>
    </w:p>
    <w:p w14:paraId="573ED9B8" w14:textId="77777777" w:rsidR="007B4071" w:rsidRPr="006C4A45" w:rsidRDefault="009D542A" w:rsidP="00A75F5E">
      <w:pPr>
        <w:pStyle w:val="Style5"/>
        <w:widowControl/>
        <w:tabs>
          <w:tab w:val="left" w:pos="7371"/>
        </w:tabs>
        <w:spacing w:line="240" w:lineRule="auto"/>
        <w:jc w:val="both"/>
        <w:rPr>
          <w:rFonts w:eastAsia="Microsoft Sans Serif"/>
          <w:szCs w:val="28"/>
          <w:lang w:bidi="ru-RU"/>
        </w:rPr>
      </w:pPr>
      <w:r w:rsidRPr="006C4A45">
        <w:rPr>
          <w:rFonts w:eastAsia="Microsoft Sans Serif"/>
          <w:szCs w:val="28"/>
          <w:lang w:bidi="ru-RU"/>
        </w:rPr>
        <w:t>27.07.2020</w:t>
      </w:r>
    </w:p>
    <w:p w14:paraId="213342CF" w14:textId="77777777" w:rsidR="007B4071" w:rsidRPr="006C4A45" w:rsidRDefault="007B4071" w:rsidP="00A75F5E">
      <w:pPr>
        <w:spacing w:after="0" w:line="240" w:lineRule="auto"/>
        <w:jc w:val="both"/>
        <w:rPr>
          <w:rFonts w:ascii="Times New Roman" w:hAnsi="Times New Roman" w:cs="Times New Roman"/>
          <w:bCs/>
          <w:sz w:val="24"/>
          <w:szCs w:val="24"/>
        </w:rPr>
      </w:pPr>
    </w:p>
    <w:p w14:paraId="4696C64E" w14:textId="77777777" w:rsidR="00A72229" w:rsidRPr="006C4A45" w:rsidRDefault="00A75F5E" w:rsidP="00A75F5E">
      <w:pPr>
        <w:spacing w:after="0" w:line="240" w:lineRule="auto"/>
        <w:jc w:val="both"/>
        <w:rPr>
          <w:rFonts w:ascii="Times New Roman" w:hAnsi="Times New Roman" w:cs="Times New Roman"/>
          <w:b/>
          <w:bCs/>
          <w:sz w:val="24"/>
          <w:szCs w:val="24"/>
        </w:rPr>
      </w:pPr>
      <w:r w:rsidRPr="006C4A45">
        <w:rPr>
          <w:rFonts w:ascii="Times New Roman" w:hAnsi="Times New Roman" w:cs="Times New Roman"/>
          <w:b/>
          <w:bCs/>
          <w:sz w:val="24"/>
          <w:szCs w:val="24"/>
        </w:rPr>
        <w:t xml:space="preserve">10. </w:t>
      </w:r>
      <w:r w:rsidR="007B4071" w:rsidRPr="006C4A45">
        <w:rPr>
          <w:rFonts w:ascii="Times New Roman" w:hAnsi="Times New Roman" w:cs="Times New Roman"/>
          <w:b/>
          <w:bCs/>
          <w:sz w:val="24"/>
          <w:szCs w:val="24"/>
        </w:rPr>
        <w:t>ДАТА ПЕРЕСМОТРА ТЕКСТА</w:t>
      </w:r>
    </w:p>
    <w:p w14:paraId="214286A3" w14:textId="77777777" w:rsidR="009D542A" w:rsidRPr="006C4A45" w:rsidRDefault="009D542A" w:rsidP="00A75F5E">
      <w:pPr>
        <w:spacing w:after="0" w:line="240" w:lineRule="auto"/>
        <w:jc w:val="both"/>
        <w:rPr>
          <w:rFonts w:ascii="Times New Roman" w:eastAsia="TimesNewRomanPSMT" w:hAnsi="Times New Roman" w:cs="Times New Roman"/>
          <w:sz w:val="24"/>
          <w:szCs w:val="28"/>
          <w:lang w:eastAsia="ru-RU"/>
        </w:rPr>
      </w:pPr>
    </w:p>
    <w:p w14:paraId="1033EF10" w14:textId="4EBCF7BA" w:rsidR="00A72229" w:rsidRPr="00A75F5E" w:rsidRDefault="007B4071" w:rsidP="00A75F5E">
      <w:pPr>
        <w:spacing w:after="0" w:line="240" w:lineRule="auto"/>
        <w:jc w:val="both"/>
        <w:rPr>
          <w:rFonts w:ascii="Times New Roman" w:hAnsi="Times New Roman" w:cs="Times New Roman"/>
          <w:bCs/>
          <w:szCs w:val="24"/>
        </w:rPr>
      </w:pPr>
      <w:r w:rsidRPr="006C4A45">
        <w:rPr>
          <w:rFonts w:ascii="Times New Roman" w:eastAsia="TimesNewRomanPSMT" w:hAnsi="Times New Roman" w:cs="Times New Roman"/>
          <w:sz w:val="24"/>
          <w:szCs w:val="28"/>
          <w:lang w:eastAsia="ru-RU"/>
        </w:rPr>
        <w:lastRenderedPageBreak/>
        <w:t xml:space="preserve">Общая характеристика лекарственного препарата доступна на официальном сайте </w:t>
      </w:r>
      <w:hyperlink r:id="rId8" w:history="1">
        <w:r w:rsidRPr="006C4A45">
          <w:rPr>
            <w:rStyle w:val="a3"/>
            <w:rFonts w:ascii="Times New Roman" w:hAnsi="Times New Roman" w:cs="Times New Roman"/>
            <w:sz w:val="24"/>
            <w:szCs w:val="28"/>
            <w:lang w:val="en-US"/>
          </w:rPr>
          <w:t>http</w:t>
        </w:r>
        <w:r w:rsidRPr="006C4A45">
          <w:rPr>
            <w:rStyle w:val="a3"/>
            <w:rFonts w:ascii="Times New Roman" w:hAnsi="Times New Roman" w:cs="Times New Roman"/>
            <w:sz w:val="24"/>
            <w:szCs w:val="28"/>
          </w:rPr>
          <w:t>://</w:t>
        </w:r>
        <w:r w:rsidRPr="006C4A45">
          <w:rPr>
            <w:rStyle w:val="a3"/>
            <w:rFonts w:ascii="Times New Roman" w:hAnsi="Times New Roman" w:cs="Times New Roman"/>
            <w:sz w:val="24"/>
            <w:szCs w:val="28"/>
            <w:lang w:val="en-US"/>
          </w:rPr>
          <w:t>www</w:t>
        </w:r>
        <w:r w:rsidRPr="006C4A45">
          <w:rPr>
            <w:rStyle w:val="a3"/>
            <w:rFonts w:ascii="Times New Roman" w:hAnsi="Times New Roman" w:cs="Times New Roman"/>
            <w:sz w:val="24"/>
            <w:szCs w:val="28"/>
          </w:rPr>
          <w:t>.</w:t>
        </w:r>
        <w:proofErr w:type="spellStart"/>
        <w:r w:rsidRPr="006C4A45">
          <w:rPr>
            <w:rStyle w:val="a3"/>
            <w:rFonts w:ascii="Times New Roman" w:hAnsi="Times New Roman" w:cs="Times New Roman"/>
            <w:sz w:val="24"/>
            <w:szCs w:val="28"/>
            <w:lang w:val="en-US"/>
          </w:rPr>
          <w:t>ndda</w:t>
        </w:r>
        <w:proofErr w:type="spellEnd"/>
        <w:r w:rsidRPr="006C4A45">
          <w:rPr>
            <w:rStyle w:val="a3"/>
            <w:rFonts w:ascii="Times New Roman" w:hAnsi="Times New Roman" w:cs="Times New Roman"/>
            <w:sz w:val="24"/>
            <w:szCs w:val="28"/>
          </w:rPr>
          <w:t>.</w:t>
        </w:r>
        <w:proofErr w:type="spellStart"/>
        <w:r w:rsidRPr="006C4A45">
          <w:rPr>
            <w:rStyle w:val="a3"/>
            <w:rFonts w:ascii="Times New Roman" w:hAnsi="Times New Roman" w:cs="Times New Roman"/>
            <w:sz w:val="24"/>
            <w:szCs w:val="28"/>
            <w:lang w:val="en-US"/>
          </w:rPr>
          <w:t>kz</w:t>
        </w:r>
        <w:proofErr w:type="spellEnd"/>
      </w:hyperlink>
    </w:p>
    <w:sectPr w:rsidR="00A72229" w:rsidRPr="00A75F5E" w:rsidSect="00354A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Описание: Description: BT_1000x858px" style="width:15.6pt;height:13.8pt;visibility:visible" o:bullet="t">
        <v:imagedata r:id="rId1" o:title=" BT_1000x858px"/>
      </v:shape>
    </w:pict>
  </w:numPicBullet>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1757"/>
    <w:multiLevelType w:val="hybridMultilevel"/>
    <w:tmpl w:val="24649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925C14"/>
    <w:multiLevelType w:val="hybridMultilevel"/>
    <w:tmpl w:val="4D9856C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362B53"/>
    <w:multiLevelType w:val="hybridMultilevel"/>
    <w:tmpl w:val="9BA6BB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F77E76"/>
    <w:multiLevelType w:val="hybridMultilevel"/>
    <w:tmpl w:val="BA84FC42"/>
    <w:lvl w:ilvl="0" w:tplc="7D827DC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C756A9"/>
    <w:multiLevelType w:val="hybridMultilevel"/>
    <w:tmpl w:val="C188F65A"/>
    <w:lvl w:ilvl="0" w:tplc="7D827D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746711"/>
    <w:multiLevelType w:val="hybridMultilevel"/>
    <w:tmpl w:val="718C988E"/>
    <w:lvl w:ilvl="0" w:tplc="7D827DC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8CE5559"/>
    <w:multiLevelType w:val="hybridMultilevel"/>
    <w:tmpl w:val="1024B8F6"/>
    <w:lvl w:ilvl="0" w:tplc="7D827D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AB6297"/>
    <w:multiLevelType w:val="hybridMultilevel"/>
    <w:tmpl w:val="9B72FB0E"/>
    <w:lvl w:ilvl="0" w:tplc="DBD05BC8">
      <w:start w:val="8"/>
      <w:numFmt w:val="bullet"/>
      <w:lvlText w:val="-"/>
      <w:lvlJc w:val="left"/>
      <w:pPr>
        <w:ind w:left="2685" w:hanging="360"/>
      </w:pPr>
      <w:rPr>
        <w:rFonts w:ascii="Times New Roman" w:eastAsia="Times New Roman" w:hAnsi="Times New Roman" w:cs="Times New Roman" w:hint="default"/>
      </w:rPr>
    </w:lvl>
    <w:lvl w:ilvl="1" w:tplc="04190003" w:tentative="1">
      <w:start w:val="1"/>
      <w:numFmt w:val="bullet"/>
      <w:lvlText w:val="o"/>
      <w:lvlJc w:val="left"/>
      <w:pPr>
        <w:ind w:left="3405" w:hanging="360"/>
      </w:pPr>
      <w:rPr>
        <w:rFonts w:ascii="Courier New" w:hAnsi="Courier New" w:cs="Courier New" w:hint="default"/>
      </w:rPr>
    </w:lvl>
    <w:lvl w:ilvl="2" w:tplc="04190005" w:tentative="1">
      <w:start w:val="1"/>
      <w:numFmt w:val="bullet"/>
      <w:lvlText w:val=""/>
      <w:lvlJc w:val="left"/>
      <w:pPr>
        <w:ind w:left="4125" w:hanging="360"/>
      </w:pPr>
      <w:rPr>
        <w:rFonts w:ascii="Wingdings" w:hAnsi="Wingdings" w:hint="default"/>
      </w:rPr>
    </w:lvl>
    <w:lvl w:ilvl="3" w:tplc="04190001" w:tentative="1">
      <w:start w:val="1"/>
      <w:numFmt w:val="bullet"/>
      <w:lvlText w:val=""/>
      <w:lvlJc w:val="left"/>
      <w:pPr>
        <w:ind w:left="4845" w:hanging="360"/>
      </w:pPr>
      <w:rPr>
        <w:rFonts w:ascii="Symbol" w:hAnsi="Symbol" w:hint="default"/>
      </w:rPr>
    </w:lvl>
    <w:lvl w:ilvl="4" w:tplc="04190003" w:tentative="1">
      <w:start w:val="1"/>
      <w:numFmt w:val="bullet"/>
      <w:lvlText w:val="o"/>
      <w:lvlJc w:val="left"/>
      <w:pPr>
        <w:ind w:left="5565" w:hanging="360"/>
      </w:pPr>
      <w:rPr>
        <w:rFonts w:ascii="Courier New" w:hAnsi="Courier New" w:cs="Courier New" w:hint="default"/>
      </w:rPr>
    </w:lvl>
    <w:lvl w:ilvl="5" w:tplc="04190005" w:tentative="1">
      <w:start w:val="1"/>
      <w:numFmt w:val="bullet"/>
      <w:lvlText w:val=""/>
      <w:lvlJc w:val="left"/>
      <w:pPr>
        <w:ind w:left="6285" w:hanging="360"/>
      </w:pPr>
      <w:rPr>
        <w:rFonts w:ascii="Wingdings" w:hAnsi="Wingdings" w:hint="default"/>
      </w:rPr>
    </w:lvl>
    <w:lvl w:ilvl="6" w:tplc="04190001" w:tentative="1">
      <w:start w:val="1"/>
      <w:numFmt w:val="bullet"/>
      <w:lvlText w:val=""/>
      <w:lvlJc w:val="left"/>
      <w:pPr>
        <w:ind w:left="7005" w:hanging="360"/>
      </w:pPr>
      <w:rPr>
        <w:rFonts w:ascii="Symbol" w:hAnsi="Symbol" w:hint="default"/>
      </w:rPr>
    </w:lvl>
    <w:lvl w:ilvl="7" w:tplc="04190003" w:tentative="1">
      <w:start w:val="1"/>
      <w:numFmt w:val="bullet"/>
      <w:lvlText w:val="o"/>
      <w:lvlJc w:val="left"/>
      <w:pPr>
        <w:ind w:left="7725" w:hanging="360"/>
      </w:pPr>
      <w:rPr>
        <w:rFonts w:ascii="Courier New" w:hAnsi="Courier New" w:cs="Courier New" w:hint="default"/>
      </w:rPr>
    </w:lvl>
    <w:lvl w:ilvl="8" w:tplc="04190005" w:tentative="1">
      <w:start w:val="1"/>
      <w:numFmt w:val="bullet"/>
      <w:lvlText w:val=""/>
      <w:lvlJc w:val="left"/>
      <w:pPr>
        <w:ind w:left="8445" w:hanging="360"/>
      </w:pPr>
      <w:rPr>
        <w:rFonts w:ascii="Wingdings" w:hAnsi="Wingdings" w:hint="default"/>
      </w:rPr>
    </w:lvl>
  </w:abstractNum>
  <w:abstractNum w:abstractNumId="21"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866660"/>
    <w:multiLevelType w:val="hybridMultilevel"/>
    <w:tmpl w:val="25BA95B6"/>
    <w:lvl w:ilvl="0" w:tplc="1124CF04">
      <w:start w:val="1"/>
      <w:numFmt w:val="bullet"/>
      <w:lvlText w:val=""/>
      <w:lvlJc w:val="left"/>
      <w:pPr>
        <w:ind w:left="502"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62286C"/>
    <w:multiLevelType w:val="hybridMultilevel"/>
    <w:tmpl w:val="E6E80B9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A012E2"/>
    <w:multiLevelType w:val="hybridMultilevel"/>
    <w:tmpl w:val="E87ED11E"/>
    <w:lvl w:ilvl="0" w:tplc="82047B6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6F31C1"/>
    <w:multiLevelType w:val="hybridMultilevel"/>
    <w:tmpl w:val="70BE946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20"/>
  </w:num>
  <w:num w:numId="18">
    <w:abstractNumId w:val="24"/>
  </w:num>
  <w:num w:numId="19">
    <w:abstractNumId w:val="13"/>
  </w:num>
  <w:num w:numId="20">
    <w:abstractNumId w:val="17"/>
  </w:num>
  <w:num w:numId="21">
    <w:abstractNumId w:val="25"/>
  </w:num>
  <w:num w:numId="22">
    <w:abstractNumId w:val="18"/>
  </w:num>
  <w:num w:numId="23">
    <w:abstractNumId w:val="23"/>
  </w:num>
  <w:num w:numId="24">
    <w:abstractNumId w:val="12"/>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586"/>
    <w:rsid w:val="00007B0A"/>
    <w:rsid w:val="00007B4F"/>
    <w:rsid w:val="00007E67"/>
    <w:rsid w:val="000100B4"/>
    <w:rsid w:val="00011142"/>
    <w:rsid w:val="000116F2"/>
    <w:rsid w:val="000119B5"/>
    <w:rsid w:val="00012E7D"/>
    <w:rsid w:val="0001403E"/>
    <w:rsid w:val="00014864"/>
    <w:rsid w:val="00014F82"/>
    <w:rsid w:val="00015829"/>
    <w:rsid w:val="00015A0F"/>
    <w:rsid w:val="00015EBB"/>
    <w:rsid w:val="0001653E"/>
    <w:rsid w:val="000165B8"/>
    <w:rsid w:val="000166E4"/>
    <w:rsid w:val="0001750C"/>
    <w:rsid w:val="00020022"/>
    <w:rsid w:val="000205FD"/>
    <w:rsid w:val="000213AF"/>
    <w:rsid w:val="00021505"/>
    <w:rsid w:val="000228F0"/>
    <w:rsid w:val="00022DBA"/>
    <w:rsid w:val="00023559"/>
    <w:rsid w:val="00023C02"/>
    <w:rsid w:val="000242BD"/>
    <w:rsid w:val="0002495D"/>
    <w:rsid w:val="0002526A"/>
    <w:rsid w:val="00025512"/>
    <w:rsid w:val="00025678"/>
    <w:rsid w:val="00025D31"/>
    <w:rsid w:val="00027CDD"/>
    <w:rsid w:val="00030D37"/>
    <w:rsid w:val="00032837"/>
    <w:rsid w:val="00032B4C"/>
    <w:rsid w:val="00032B74"/>
    <w:rsid w:val="000334B0"/>
    <w:rsid w:val="000334C0"/>
    <w:rsid w:val="00033C50"/>
    <w:rsid w:val="0003407C"/>
    <w:rsid w:val="00034599"/>
    <w:rsid w:val="00034913"/>
    <w:rsid w:val="0003542B"/>
    <w:rsid w:val="000354D6"/>
    <w:rsid w:val="000364D2"/>
    <w:rsid w:val="00036BC4"/>
    <w:rsid w:val="00037258"/>
    <w:rsid w:val="00037B63"/>
    <w:rsid w:val="000402D6"/>
    <w:rsid w:val="00041127"/>
    <w:rsid w:val="0004129E"/>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1BAC"/>
    <w:rsid w:val="00052F96"/>
    <w:rsid w:val="00053385"/>
    <w:rsid w:val="00053452"/>
    <w:rsid w:val="00054420"/>
    <w:rsid w:val="000544D3"/>
    <w:rsid w:val="000549F5"/>
    <w:rsid w:val="00054A68"/>
    <w:rsid w:val="000555BB"/>
    <w:rsid w:val="00055682"/>
    <w:rsid w:val="00055935"/>
    <w:rsid w:val="000559DC"/>
    <w:rsid w:val="00056509"/>
    <w:rsid w:val="0005651D"/>
    <w:rsid w:val="00056AE2"/>
    <w:rsid w:val="00057082"/>
    <w:rsid w:val="00060217"/>
    <w:rsid w:val="00061597"/>
    <w:rsid w:val="00061896"/>
    <w:rsid w:val="0006364C"/>
    <w:rsid w:val="000643BA"/>
    <w:rsid w:val="00065039"/>
    <w:rsid w:val="00066911"/>
    <w:rsid w:val="00066B82"/>
    <w:rsid w:val="00066E2D"/>
    <w:rsid w:val="0006724D"/>
    <w:rsid w:val="00067E47"/>
    <w:rsid w:val="00067FD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5E91"/>
    <w:rsid w:val="000763CD"/>
    <w:rsid w:val="000769DF"/>
    <w:rsid w:val="00076F4E"/>
    <w:rsid w:val="0007752C"/>
    <w:rsid w:val="000775F3"/>
    <w:rsid w:val="00077850"/>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6C0E"/>
    <w:rsid w:val="000B076A"/>
    <w:rsid w:val="000B0B19"/>
    <w:rsid w:val="000B0D2D"/>
    <w:rsid w:val="000B231E"/>
    <w:rsid w:val="000B2DF6"/>
    <w:rsid w:val="000B4106"/>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12"/>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AF6"/>
    <w:rsid w:val="00120E17"/>
    <w:rsid w:val="00121CDC"/>
    <w:rsid w:val="0012201D"/>
    <w:rsid w:val="00122DB3"/>
    <w:rsid w:val="0012392B"/>
    <w:rsid w:val="00123A36"/>
    <w:rsid w:val="00123BCA"/>
    <w:rsid w:val="00124233"/>
    <w:rsid w:val="00124D05"/>
    <w:rsid w:val="00125E18"/>
    <w:rsid w:val="00125E71"/>
    <w:rsid w:val="0012622E"/>
    <w:rsid w:val="00126836"/>
    <w:rsid w:val="00126981"/>
    <w:rsid w:val="00126C3E"/>
    <w:rsid w:val="001277BB"/>
    <w:rsid w:val="0013010B"/>
    <w:rsid w:val="00130251"/>
    <w:rsid w:val="00130CA4"/>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7E3"/>
    <w:rsid w:val="00144D6C"/>
    <w:rsid w:val="00144F9D"/>
    <w:rsid w:val="00145AA9"/>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6F9C"/>
    <w:rsid w:val="00167460"/>
    <w:rsid w:val="00167591"/>
    <w:rsid w:val="00170789"/>
    <w:rsid w:val="00171069"/>
    <w:rsid w:val="00171F70"/>
    <w:rsid w:val="00173183"/>
    <w:rsid w:val="00174EF4"/>
    <w:rsid w:val="001751FA"/>
    <w:rsid w:val="001758EE"/>
    <w:rsid w:val="001760AF"/>
    <w:rsid w:val="001760E2"/>
    <w:rsid w:val="00176315"/>
    <w:rsid w:val="00176A92"/>
    <w:rsid w:val="00176ECF"/>
    <w:rsid w:val="0017709C"/>
    <w:rsid w:val="00177591"/>
    <w:rsid w:val="001778D4"/>
    <w:rsid w:val="0018018B"/>
    <w:rsid w:val="00182677"/>
    <w:rsid w:val="00182913"/>
    <w:rsid w:val="00182D9F"/>
    <w:rsid w:val="0018331F"/>
    <w:rsid w:val="001837F7"/>
    <w:rsid w:val="00183CB0"/>
    <w:rsid w:val="00183EC9"/>
    <w:rsid w:val="00183EE5"/>
    <w:rsid w:val="001847E4"/>
    <w:rsid w:val="00184C5D"/>
    <w:rsid w:val="00184EE7"/>
    <w:rsid w:val="0018500A"/>
    <w:rsid w:val="00185130"/>
    <w:rsid w:val="00185474"/>
    <w:rsid w:val="001856BA"/>
    <w:rsid w:val="001856C9"/>
    <w:rsid w:val="0018598C"/>
    <w:rsid w:val="00190076"/>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4821"/>
    <w:rsid w:val="00194A11"/>
    <w:rsid w:val="001952AA"/>
    <w:rsid w:val="00195C84"/>
    <w:rsid w:val="00195D95"/>
    <w:rsid w:val="001970EC"/>
    <w:rsid w:val="001977BF"/>
    <w:rsid w:val="00197856"/>
    <w:rsid w:val="00197A21"/>
    <w:rsid w:val="00197A5D"/>
    <w:rsid w:val="001A03C8"/>
    <w:rsid w:val="001A0814"/>
    <w:rsid w:val="001A0AC8"/>
    <w:rsid w:val="001A190F"/>
    <w:rsid w:val="001A2320"/>
    <w:rsid w:val="001A2C90"/>
    <w:rsid w:val="001A4197"/>
    <w:rsid w:val="001A5AC6"/>
    <w:rsid w:val="001A5BAA"/>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3846"/>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E77"/>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1BD"/>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046"/>
    <w:rsid w:val="001F3B3A"/>
    <w:rsid w:val="001F3B4F"/>
    <w:rsid w:val="001F3BE6"/>
    <w:rsid w:val="001F45BC"/>
    <w:rsid w:val="001F4E12"/>
    <w:rsid w:val="001F4E3B"/>
    <w:rsid w:val="001F5142"/>
    <w:rsid w:val="001F5844"/>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0FA3"/>
    <w:rsid w:val="00211ABF"/>
    <w:rsid w:val="0021246A"/>
    <w:rsid w:val="00213061"/>
    <w:rsid w:val="0021419B"/>
    <w:rsid w:val="0021430E"/>
    <w:rsid w:val="00214E58"/>
    <w:rsid w:val="0021523A"/>
    <w:rsid w:val="00215EAC"/>
    <w:rsid w:val="00216195"/>
    <w:rsid w:val="00216732"/>
    <w:rsid w:val="00216923"/>
    <w:rsid w:val="00216B44"/>
    <w:rsid w:val="0021707A"/>
    <w:rsid w:val="00217956"/>
    <w:rsid w:val="00217CD1"/>
    <w:rsid w:val="00217DFB"/>
    <w:rsid w:val="0022059F"/>
    <w:rsid w:val="002209C0"/>
    <w:rsid w:val="0022123A"/>
    <w:rsid w:val="002213C9"/>
    <w:rsid w:val="002216C7"/>
    <w:rsid w:val="00221B04"/>
    <w:rsid w:val="0022233E"/>
    <w:rsid w:val="0022304E"/>
    <w:rsid w:val="00223367"/>
    <w:rsid w:val="0022375E"/>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86D"/>
    <w:rsid w:val="00241B20"/>
    <w:rsid w:val="00241CCA"/>
    <w:rsid w:val="0024290C"/>
    <w:rsid w:val="00242C79"/>
    <w:rsid w:val="00242E1C"/>
    <w:rsid w:val="00243545"/>
    <w:rsid w:val="002446C2"/>
    <w:rsid w:val="002449D3"/>
    <w:rsid w:val="00244F25"/>
    <w:rsid w:val="002450B1"/>
    <w:rsid w:val="00245E0B"/>
    <w:rsid w:val="00246B3A"/>
    <w:rsid w:val="00247CF4"/>
    <w:rsid w:val="002516D3"/>
    <w:rsid w:val="00251B29"/>
    <w:rsid w:val="00251D02"/>
    <w:rsid w:val="00252117"/>
    <w:rsid w:val="00253199"/>
    <w:rsid w:val="00253290"/>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3ECF"/>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1E"/>
    <w:rsid w:val="0027724B"/>
    <w:rsid w:val="00277B34"/>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7D9"/>
    <w:rsid w:val="002938DB"/>
    <w:rsid w:val="00293C6A"/>
    <w:rsid w:val="0029421F"/>
    <w:rsid w:val="00294583"/>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28"/>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55D3"/>
    <w:rsid w:val="002B730D"/>
    <w:rsid w:val="002B7500"/>
    <w:rsid w:val="002C0ECE"/>
    <w:rsid w:val="002C0EDB"/>
    <w:rsid w:val="002C18D2"/>
    <w:rsid w:val="002C2868"/>
    <w:rsid w:val="002C2935"/>
    <w:rsid w:val="002C2A71"/>
    <w:rsid w:val="002C3E18"/>
    <w:rsid w:val="002C4919"/>
    <w:rsid w:val="002C50C4"/>
    <w:rsid w:val="002C53AF"/>
    <w:rsid w:val="002C57FD"/>
    <w:rsid w:val="002C677F"/>
    <w:rsid w:val="002C69B1"/>
    <w:rsid w:val="002D1BC4"/>
    <w:rsid w:val="002D200F"/>
    <w:rsid w:val="002D272A"/>
    <w:rsid w:val="002D2F7D"/>
    <w:rsid w:val="002D32C4"/>
    <w:rsid w:val="002D3487"/>
    <w:rsid w:val="002D3CCA"/>
    <w:rsid w:val="002D3DA5"/>
    <w:rsid w:val="002D4497"/>
    <w:rsid w:val="002D4D49"/>
    <w:rsid w:val="002D4FE0"/>
    <w:rsid w:val="002D5CF2"/>
    <w:rsid w:val="002D5F6D"/>
    <w:rsid w:val="002D67C5"/>
    <w:rsid w:val="002D6B71"/>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629E"/>
    <w:rsid w:val="002E7604"/>
    <w:rsid w:val="002E7B41"/>
    <w:rsid w:val="002F0034"/>
    <w:rsid w:val="002F0201"/>
    <w:rsid w:val="002F03FD"/>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98A"/>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462"/>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111"/>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AE1"/>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B07"/>
    <w:rsid w:val="00362B38"/>
    <w:rsid w:val="00363221"/>
    <w:rsid w:val="003634C7"/>
    <w:rsid w:val="003634EF"/>
    <w:rsid w:val="003635D9"/>
    <w:rsid w:val="0036403A"/>
    <w:rsid w:val="00364D97"/>
    <w:rsid w:val="0036715A"/>
    <w:rsid w:val="00370967"/>
    <w:rsid w:val="00370D84"/>
    <w:rsid w:val="0037165F"/>
    <w:rsid w:val="003717FC"/>
    <w:rsid w:val="00371FAA"/>
    <w:rsid w:val="00372083"/>
    <w:rsid w:val="00372112"/>
    <w:rsid w:val="003726C2"/>
    <w:rsid w:val="00372A1C"/>
    <w:rsid w:val="00372EB7"/>
    <w:rsid w:val="0037315A"/>
    <w:rsid w:val="00373339"/>
    <w:rsid w:val="00373C93"/>
    <w:rsid w:val="00373CDD"/>
    <w:rsid w:val="003749D0"/>
    <w:rsid w:val="00374C9D"/>
    <w:rsid w:val="00376392"/>
    <w:rsid w:val="00376679"/>
    <w:rsid w:val="003771BD"/>
    <w:rsid w:val="003774E2"/>
    <w:rsid w:val="00377EE0"/>
    <w:rsid w:val="00380E2B"/>
    <w:rsid w:val="003811C5"/>
    <w:rsid w:val="00381F0A"/>
    <w:rsid w:val="00382F63"/>
    <w:rsid w:val="0038332A"/>
    <w:rsid w:val="003837FF"/>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529"/>
    <w:rsid w:val="003A67A8"/>
    <w:rsid w:val="003A6CC7"/>
    <w:rsid w:val="003A7FFD"/>
    <w:rsid w:val="003B0357"/>
    <w:rsid w:val="003B05F9"/>
    <w:rsid w:val="003B0ED5"/>
    <w:rsid w:val="003B1799"/>
    <w:rsid w:val="003B18A5"/>
    <w:rsid w:val="003B1963"/>
    <w:rsid w:val="003B2089"/>
    <w:rsid w:val="003B2461"/>
    <w:rsid w:val="003B2E84"/>
    <w:rsid w:val="003B3664"/>
    <w:rsid w:val="003B4004"/>
    <w:rsid w:val="003B4A1F"/>
    <w:rsid w:val="003B56F7"/>
    <w:rsid w:val="003B5CCC"/>
    <w:rsid w:val="003B5DCC"/>
    <w:rsid w:val="003B5E32"/>
    <w:rsid w:val="003B6BFB"/>
    <w:rsid w:val="003B7A9C"/>
    <w:rsid w:val="003B7D20"/>
    <w:rsid w:val="003C05D2"/>
    <w:rsid w:val="003C0799"/>
    <w:rsid w:val="003C096B"/>
    <w:rsid w:val="003C0FB2"/>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C6BAC"/>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3A0F"/>
    <w:rsid w:val="003E4428"/>
    <w:rsid w:val="003E4EA8"/>
    <w:rsid w:val="003E54CE"/>
    <w:rsid w:val="003E560C"/>
    <w:rsid w:val="003E5ABA"/>
    <w:rsid w:val="003E5DB9"/>
    <w:rsid w:val="003E6630"/>
    <w:rsid w:val="003E6986"/>
    <w:rsid w:val="003E748D"/>
    <w:rsid w:val="003F0088"/>
    <w:rsid w:val="003F030B"/>
    <w:rsid w:val="003F0663"/>
    <w:rsid w:val="003F0F3F"/>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4C4"/>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5FC"/>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65DB"/>
    <w:rsid w:val="00437200"/>
    <w:rsid w:val="004379CD"/>
    <w:rsid w:val="00437F11"/>
    <w:rsid w:val="00440671"/>
    <w:rsid w:val="004418DF"/>
    <w:rsid w:val="00441A0E"/>
    <w:rsid w:val="004421B2"/>
    <w:rsid w:val="004423FA"/>
    <w:rsid w:val="00442771"/>
    <w:rsid w:val="00442CA0"/>
    <w:rsid w:val="004431CB"/>
    <w:rsid w:val="00443554"/>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ABE"/>
    <w:rsid w:val="00456E0D"/>
    <w:rsid w:val="00456FF4"/>
    <w:rsid w:val="0045775F"/>
    <w:rsid w:val="004578B9"/>
    <w:rsid w:val="00457F82"/>
    <w:rsid w:val="00460281"/>
    <w:rsid w:val="0046048C"/>
    <w:rsid w:val="00461F0E"/>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02"/>
    <w:rsid w:val="00493C1C"/>
    <w:rsid w:val="00493CE2"/>
    <w:rsid w:val="00493EFF"/>
    <w:rsid w:val="004952A2"/>
    <w:rsid w:val="004952CD"/>
    <w:rsid w:val="00495512"/>
    <w:rsid w:val="00497124"/>
    <w:rsid w:val="00497850"/>
    <w:rsid w:val="00497990"/>
    <w:rsid w:val="004A1839"/>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DDA"/>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438"/>
    <w:rsid w:val="004C2BDE"/>
    <w:rsid w:val="004C2EF0"/>
    <w:rsid w:val="004C33D5"/>
    <w:rsid w:val="004C359B"/>
    <w:rsid w:val="004C39DF"/>
    <w:rsid w:val="004C3CE1"/>
    <w:rsid w:val="004C3ED2"/>
    <w:rsid w:val="004C42C7"/>
    <w:rsid w:val="004C44AC"/>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6E5B"/>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0C"/>
    <w:rsid w:val="00501BD4"/>
    <w:rsid w:val="00501CC8"/>
    <w:rsid w:val="00503D57"/>
    <w:rsid w:val="0050441A"/>
    <w:rsid w:val="00504637"/>
    <w:rsid w:val="005053E4"/>
    <w:rsid w:val="005077E2"/>
    <w:rsid w:val="00507EC7"/>
    <w:rsid w:val="00510384"/>
    <w:rsid w:val="005104FC"/>
    <w:rsid w:val="00510700"/>
    <w:rsid w:val="0051093A"/>
    <w:rsid w:val="00510980"/>
    <w:rsid w:val="00510C42"/>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277"/>
    <w:rsid w:val="00524F90"/>
    <w:rsid w:val="005251E2"/>
    <w:rsid w:val="0052594C"/>
    <w:rsid w:val="00525A47"/>
    <w:rsid w:val="00525DCE"/>
    <w:rsid w:val="00525EF3"/>
    <w:rsid w:val="00526680"/>
    <w:rsid w:val="00526FCB"/>
    <w:rsid w:val="00527863"/>
    <w:rsid w:val="005301F4"/>
    <w:rsid w:val="00531412"/>
    <w:rsid w:val="005328BA"/>
    <w:rsid w:val="00532B51"/>
    <w:rsid w:val="0053313E"/>
    <w:rsid w:val="00534628"/>
    <w:rsid w:val="00534D2B"/>
    <w:rsid w:val="00535B05"/>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47DB4"/>
    <w:rsid w:val="005517E6"/>
    <w:rsid w:val="0055273F"/>
    <w:rsid w:val="00553589"/>
    <w:rsid w:val="005539F5"/>
    <w:rsid w:val="00554837"/>
    <w:rsid w:val="00554F55"/>
    <w:rsid w:val="00555DF8"/>
    <w:rsid w:val="00556633"/>
    <w:rsid w:val="00556D73"/>
    <w:rsid w:val="00556EDC"/>
    <w:rsid w:val="005577ED"/>
    <w:rsid w:val="005579D6"/>
    <w:rsid w:val="00560257"/>
    <w:rsid w:val="00560C97"/>
    <w:rsid w:val="0056187B"/>
    <w:rsid w:val="00562180"/>
    <w:rsid w:val="005632D2"/>
    <w:rsid w:val="005633C0"/>
    <w:rsid w:val="00563519"/>
    <w:rsid w:val="00563811"/>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04A"/>
    <w:rsid w:val="005805E1"/>
    <w:rsid w:val="00580672"/>
    <w:rsid w:val="0058194D"/>
    <w:rsid w:val="00581A6D"/>
    <w:rsid w:val="0058278A"/>
    <w:rsid w:val="005836F5"/>
    <w:rsid w:val="0058379C"/>
    <w:rsid w:val="00583FA7"/>
    <w:rsid w:val="005848EE"/>
    <w:rsid w:val="00584AA6"/>
    <w:rsid w:val="00584BDF"/>
    <w:rsid w:val="0058572A"/>
    <w:rsid w:val="0058593E"/>
    <w:rsid w:val="00585B05"/>
    <w:rsid w:val="005860D6"/>
    <w:rsid w:val="00586259"/>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0DC"/>
    <w:rsid w:val="005A1CA9"/>
    <w:rsid w:val="005A1DEB"/>
    <w:rsid w:val="005A331D"/>
    <w:rsid w:val="005A37D3"/>
    <w:rsid w:val="005A4563"/>
    <w:rsid w:val="005A49F0"/>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7EC"/>
    <w:rsid w:val="005C3B32"/>
    <w:rsid w:val="005C4715"/>
    <w:rsid w:val="005C494E"/>
    <w:rsid w:val="005C4A9B"/>
    <w:rsid w:val="005C4B84"/>
    <w:rsid w:val="005C5A78"/>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5F6"/>
    <w:rsid w:val="005D6A61"/>
    <w:rsid w:val="005D6A8B"/>
    <w:rsid w:val="005D6D07"/>
    <w:rsid w:val="005D767F"/>
    <w:rsid w:val="005D7838"/>
    <w:rsid w:val="005D7901"/>
    <w:rsid w:val="005D79EB"/>
    <w:rsid w:val="005D7D1D"/>
    <w:rsid w:val="005E0461"/>
    <w:rsid w:val="005E0895"/>
    <w:rsid w:val="005E093B"/>
    <w:rsid w:val="005E1C77"/>
    <w:rsid w:val="005E2035"/>
    <w:rsid w:val="005E21F3"/>
    <w:rsid w:val="005E22DD"/>
    <w:rsid w:val="005E23A8"/>
    <w:rsid w:val="005E2B47"/>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CB"/>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011"/>
    <w:rsid w:val="00611271"/>
    <w:rsid w:val="006114C6"/>
    <w:rsid w:val="0061155E"/>
    <w:rsid w:val="00611673"/>
    <w:rsid w:val="006126E2"/>
    <w:rsid w:val="00612C35"/>
    <w:rsid w:val="006131CD"/>
    <w:rsid w:val="0061339B"/>
    <w:rsid w:val="0061349A"/>
    <w:rsid w:val="00613BB4"/>
    <w:rsid w:val="00613E19"/>
    <w:rsid w:val="0061409D"/>
    <w:rsid w:val="006147B0"/>
    <w:rsid w:val="00614B2E"/>
    <w:rsid w:val="00614E10"/>
    <w:rsid w:val="006156E6"/>
    <w:rsid w:val="00615E44"/>
    <w:rsid w:val="00616423"/>
    <w:rsid w:val="006166DB"/>
    <w:rsid w:val="006168DF"/>
    <w:rsid w:val="00616EB8"/>
    <w:rsid w:val="00616F9A"/>
    <w:rsid w:val="00620F58"/>
    <w:rsid w:val="006217E4"/>
    <w:rsid w:val="00621CE9"/>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0A4"/>
    <w:rsid w:val="00637AAB"/>
    <w:rsid w:val="00637AE9"/>
    <w:rsid w:val="00637C49"/>
    <w:rsid w:val="00637FFE"/>
    <w:rsid w:val="006402DE"/>
    <w:rsid w:val="006408B9"/>
    <w:rsid w:val="00642117"/>
    <w:rsid w:val="00642A45"/>
    <w:rsid w:val="0064362C"/>
    <w:rsid w:val="00643BF8"/>
    <w:rsid w:val="00643D59"/>
    <w:rsid w:val="006441EC"/>
    <w:rsid w:val="0064446A"/>
    <w:rsid w:val="0064543F"/>
    <w:rsid w:val="006461D2"/>
    <w:rsid w:val="00646318"/>
    <w:rsid w:val="00647252"/>
    <w:rsid w:val="00647612"/>
    <w:rsid w:val="00650A2E"/>
    <w:rsid w:val="00652B5B"/>
    <w:rsid w:val="00652FEA"/>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0D9"/>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54A"/>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320"/>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5A"/>
    <w:rsid w:val="006B79CF"/>
    <w:rsid w:val="006C0ECF"/>
    <w:rsid w:val="006C15F8"/>
    <w:rsid w:val="006C33AD"/>
    <w:rsid w:val="006C45DC"/>
    <w:rsid w:val="006C4A45"/>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0DA"/>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6F73D5"/>
    <w:rsid w:val="00700E1E"/>
    <w:rsid w:val="0070126F"/>
    <w:rsid w:val="00701F75"/>
    <w:rsid w:val="007029D7"/>
    <w:rsid w:val="00702DD7"/>
    <w:rsid w:val="00703964"/>
    <w:rsid w:val="007039ED"/>
    <w:rsid w:val="00703F48"/>
    <w:rsid w:val="0070448C"/>
    <w:rsid w:val="00705BCF"/>
    <w:rsid w:val="00706B10"/>
    <w:rsid w:val="0070705D"/>
    <w:rsid w:val="0070768D"/>
    <w:rsid w:val="007077FE"/>
    <w:rsid w:val="00707C00"/>
    <w:rsid w:val="0071003E"/>
    <w:rsid w:val="007100EA"/>
    <w:rsid w:val="0071025C"/>
    <w:rsid w:val="00710A7B"/>
    <w:rsid w:val="00710B6D"/>
    <w:rsid w:val="007118A7"/>
    <w:rsid w:val="00711CC0"/>
    <w:rsid w:val="0071259F"/>
    <w:rsid w:val="007139AC"/>
    <w:rsid w:val="007150DF"/>
    <w:rsid w:val="00715167"/>
    <w:rsid w:val="007155DC"/>
    <w:rsid w:val="00715DE9"/>
    <w:rsid w:val="00716131"/>
    <w:rsid w:val="00716562"/>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988"/>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AC3"/>
    <w:rsid w:val="00742B4A"/>
    <w:rsid w:val="00742C30"/>
    <w:rsid w:val="00743034"/>
    <w:rsid w:val="00743320"/>
    <w:rsid w:val="0074440F"/>
    <w:rsid w:val="007448BA"/>
    <w:rsid w:val="00744AC4"/>
    <w:rsid w:val="00745D22"/>
    <w:rsid w:val="0074688A"/>
    <w:rsid w:val="00746B07"/>
    <w:rsid w:val="00746CD5"/>
    <w:rsid w:val="007471D2"/>
    <w:rsid w:val="00747489"/>
    <w:rsid w:val="00750EA8"/>
    <w:rsid w:val="0075180D"/>
    <w:rsid w:val="0075272B"/>
    <w:rsid w:val="00753467"/>
    <w:rsid w:val="007538B0"/>
    <w:rsid w:val="00753BA1"/>
    <w:rsid w:val="00753EE7"/>
    <w:rsid w:val="00753EE8"/>
    <w:rsid w:val="007561BA"/>
    <w:rsid w:val="00756590"/>
    <w:rsid w:val="00757245"/>
    <w:rsid w:val="00757764"/>
    <w:rsid w:val="0075797F"/>
    <w:rsid w:val="00757992"/>
    <w:rsid w:val="00760C4A"/>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09A5"/>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263A"/>
    <w:rsid w:val="00793F1B"/>
    <w:rsid w:val="00796E4D"/>
    <w:rsid w:val="007A0954"/>
    <w:rsid w:val="007A17D1"/>
    <w:rsid w:val="007A1AB8"/>
    <w:rsid w:val="007A3376"/>
    <w:rsid w:val="007A3B22"/>
    <w:rsid w:val="007A3BE1"/>
    <w:rsid w:val="007A3E01"/>
    <w:rsid w:val="007A4370"/>
    <w:rsid w:val="007A43DA"/>
    <w:rsid w:val="007A530D"/>
    <w:rsid w:val="007A5395"/>
    <w:rsid w:val="007A5412"/>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071"/>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D26"/>
    <w:rsid w:val="007C3EBC"/>
    <w:rsid w:val="007C4C8B"/>
    <w:rsid w:val="007C4D05"/>
    <w:rsid w:val="007C5200"/>
    <w:rsid w:val="007C5310"/>
    <w:rsid w:val="007C5A0B"/>
    <w:rsid w:val="007C611C"/>
    <w:rsid w:val="007C6447"/>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2EEE"/>
    <w:rsid w:val="007E32DD"/>
    <w:rsid w:val="007E33A2"/>
    <w:rsid w:val="007E34B6"/>
    <w:rsid w:val="007E39B1"/>
    <w:rsid w:val="007E4024"/>
    <w:rsid w:val="007E50F2"/>
    <w:rsid w:val="007E55D2"/>
    <w:rsid w:val="007E56C6"/>
    <w:rsid w:val="007E5D52"/>
    <w:rsid w:val="007E5DD7"/>
    <w:rsid w:val="007E7E96"/>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9CC"/>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252"/>
    <w:rsid w:val="0082049E"/>
    <w:rsid w:val="0082068A"/>
    <w:rsid w:val="008208D5"/>
    <w:rsid w:val="00820F76"/>
    <w:rsid w:val="00821399"/>
    <w:rsid w:val="008218FD"/>
    <w:rsid w:val="00821A26"/>
    <w:rsid w:val="00821D53"/>
    <w:rsid w:val="00821F5F"/>
    <w:rsid w:val="00822382"/>
    <w:rsid w:val="0082313A"/>
    <w:rsid w:val="008248FB"/>
    <w:rsid w:val="00824CD9"/>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57F92"/>
    <w:rsid w:val="0086266C"/>
    <w:rsid w:val="00862BB0"/>
    <w:rsid w:val="00862E92"/>
    <w:rsid w:val="0086370D"/>
    <w:rsid w:val="00863858"/>
    <w:rsid w:val="0086422D"/>
    <w:rsid w:val="00864687"/>
    <w:rsid w:val="008648E6"/>
    <w:rsid w:val="00864954"/>
    <w:rsid w:val="00865DE8"/>
    <w:rsid w:val="00866450"/>
    <w:rsid w:val="00866A7A"/>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689"/>
    <w:rsid w:val="00894D09"/>
    <w:rsid w:val="0089513A"/>
    <w:rsid w:val="0089551A"/>
    <w:rsid w:val="00895A21"/>
    <w:rsid w:val="00896C61"/>
    <w:rsid w:val="00896FC0"/>
    <w:rsid w:val="00897000"/>
    <w:rsid w:val="008971AD"/>
    <w:rsid w:val="008973B0"/>
    <w:rsid w:val="0089796E"/>
    <w:rsid w:val="00897E4A"/>
    <w:rsid w:val="008A021F"/>
    <w:rsid w:val="008A036F"/>
    <w:rsid w:val="008A073E"/>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0C8"/>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A11"/>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3E3"/>
    <w:rsid w:val="008F1D2D"/>
    <w:rsid w:val="008F1D87"/>
    <w:rsid w:val="008F2C68"/>
    <w:rsid w:val="008F417C"/>
    <w:rsid w:val="008F41B5"/>
    <w:rsid w:val="008F4772"/>
    <w:rsid w:val="008F4F3F"/>
    <w:rsid w:val="008F54E2"/>
    <w:rsid w:val="008F5542"/>
    <w:rsid w:val="008F55EA"/>
    <w:rsid w:val="008F5EA5"/>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45F"/>
    <w:rsid w:val="00936FDF"/>
    <w:rsid w:val="009413D6"/>
    <w:rsid w:val="00941529"/>
    <w:rsid w:val="00942AB3"/>
    <w:rsid w:val="00942FEE"/>
    <w:rsid w:val="009432D9"/>
    <w:rsid w:val="0094349C"/>
    <w:rsid w:val="009436D4"/>
    <w:rsid w:val="009438CB"/>
    <w:rsid w:val="00943BA6"/>
    <w:rsid w:val="00943EAF"/>
    <w:rsid w:val="0094464C"/>
    <w:rsid w:val="009458E7"/>
    <w:rsid w:val="00945D1B"/>
    <w:rsid w:val="00947244"/>
    <w:rsid w:val="00947A50"/>
    <w:rsid w:val="00947CF8"/>
    <w:rsid w:val="009500DB"/>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0F0A"/>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9B2"/>
    <w:rsid w:val="009B1AB1"/>
    <w:rsid w:val="009B1B48"/>
    <w:rsid w:val="009B2217"/>
    <w:rsid w:val="009B4364"/>
    <w:rsid w:val="009B48DD"/>
    <w:rsid w:val="009B48E6"/>
    <w:rsid w:val="009B4B33"/>
    <w:rsid w:val="009B4E37"/>
    <w:rsid w:val="009B4E8D"/>
    <w:rsid w:val="009B50DE"/>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CA3"/>
    <w:rsid w:val="009C1F3F"/>
    <w:rsid w:val="009C2142"/>
    <w:rsid w:val="009C34D0"/>
    <w:rsid w:val="009C3A63"/>
    <w:rsid w:val="009C3F2D"/>
    <w:rsid w:val="009C3F84"/>
    <w:rsid w:val="009C6386"/>
    <w:rsid w:val="009C6975"/>
    <w:rsid w:val="009C6F48"/>
    <w:rsid w:val="009C78DA"/>
    <w:rsid w:val="009D0BF8"/>
    <w:rsid w:val="009D10ED"/>
    <w:rsid w:val="009D175E"/>
    <w:rsid w:val="009D1B18"/>
    <w:rsid w:val="009D1E5F"/>
    <w:rsid w:val="009D2504"/>
    <w:rsid w:val="009D2CEB"/>
    <w:rsid w:val="009D319D"/>
    <w:rsid w:val="009D3258"/>
    <w:rsid w:val="009D35DE"/>
    <w:rsid w:val="009D3D15"/>
    <w:rsid w:val="009D523A"/>
    <w:rsid w:val="009D542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680"/>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86B"/>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EC8"/>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1F7"/>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5FAB"/>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834"/>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5F5E"/>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68B"/>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963"/>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550"/>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4198"/>
    <w:rsid w:val="00B1572C"/>
    <w:rsid w:val="00B1578B"/>
    <w:rsid w:val="00B1591E"/>
    <w:rsid w:val="00B159D2"/>
    <w:rsid w:val="00B15E3D"/>
    <w:rsid w:val="00B1696D"/>
    <w:rsid w:val="00B1717E"/>
    <w:rsid w:val="00B17484"/>
    <w:rsid w:val="00B1767D"/>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3DD8"/>
    <w:rsid w:val="00B340D7"/>
    <w:rsid w:val="00B34191"/>
    <w:rsid w:val="00B34794"/>
    <w:rsid w:val="00B34C8B"/>
    <w:rsid w:val="00B3556B"/>
    <w:rsid w:val="00B36817"/>
    <w:rsid w:val="00B37905"/>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47237"/>
    <w:rsid w:val="00B5033A"/>
    <w:rsid w:val="00B51222"/>
    <w:rsid w:val="00B51FDC"/>
    <w:rsid w:val="00B52C11"/>
    <w:rsid w:val="00B52C58"/>
    <w:rsid w:val="00B53870"/>
    <w:rsid w:val="00B53A3A"/>
    <w:rsid w:val="00B54285"/>
    <w:rsid w:val="00B55111"/>
    <w:rsid w:val="00B55F02"/>
    <w:rsid w:val="00B566A1"/>
    <w:rsid w:val="00B56A9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67F78"/>
    <w:rsid w:val="00B70618"/>
    <w:rsid w:val="00B70945"/>
    <w:rsid w:val="00B709E1"/>
    <w:rsid w:val="00B70E53"/>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2275"/>
    <w:rsid w:val="00B84842"/>
    <w:rsid w:val="00B85413"/>
    <w:rsid w:val="00B85801"/>
    <w:rsid w:val="00B86E2E"/>
    <w:rsid w:val="00B87968"/>
    <w:rsid w:val="00B87B29"/>
    <w:rsid w:val="00B87DE7"/>
    <w:rsid w:val="00B903F6"/>
    <w:rsid w:val="00B911BE"/>
    <w:rsid w:val="00B91BDC"/>
    <w:rsid w:val="00B91D41"/>
    <w:rsid w:val="00B92B25"/>
    <w:rsid w:val="00B92DCA"/>
    <w:rsid w:val="00B9379A"/>
    <w:rsid w:val="00B943E6"/>
    <w:rsid w:val="00B9479F"/>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A1"/>
    <w:rsid w:val="00BB47B5"/>
    <w:rsid w:val="00BB4BE0"/>
    <w:rsid w:val="00BB57AA"/>
    <w:rsid w:val="00BB6587"/>
    <w:rsid w:val="00BB69EA"/>
    <w:rsid w:val="00BB77A7"/>
    <w:rsid w:val="00BB7B80"/>
    <w:rsid w:val="00BB7CF2"/>
    <w:rsid w:val="00BC08A4"/>
    <w:rsid w:val="00BC18FA"/>
    <w:rsid w:val="00BC1BE2"/>
    <w:rsid w:val="00BC3A5F"/>
    <w:rsid w:val="00BC3E61"/>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547"/>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0C1"/>
    <w:rsid w:val="00C02690"/>
    <w:rsid w:val="00C02718"/>
    <w:rsid w:val="00C027B5"/>
    <w:rsid w:val="00C0322F"/>
    <w:rsid w:val="00C0351A"/>
    <w:rsid w:val="00C0393D"/>
    <w:rsid w:val="00C04044"/>
    <w:rsid w:val="00C04423"/>
    <w:rsid w:val="00C046CC"/>
    <w:rsid w:val="00C047CC"/>
    <w:rsid w:val="00C04A7E"/>
    <w:rsid w:val="00C04F39"/>
    <w:rsid w:val="00C0511D"/>
    <w:rsid w:val="00C053D0"/>
    <w:rsid w:val="00C0604D"/>
    <w:rsid w:val="00C06334"/>
    <w:rsid w:val="00C066D6"/>
    <w:rsid w:val="00C06EA3"/>
    <w:rsid w:val="00C073AB"/>
    <w:rsid w:val="00C076C2"/>
    <w:rsid w:val="00C07A1C"/>
    <w:rsid w:val="00C07F18"/>
    <w:rsid w:val="00C10421"/>
    <w:rsid w:val="00C1073A"/>
    <w:rsid w:val="00C10B46"/>
    <w:rsid w:val="00C10CA7"/>
    <w:rsid w:val="00C1157A"/>
    <w:rsid w:val="00C11882"/>
    <w:rsid w:val="00C11E5B"/>
    <w:rsid w:val="00C12E28"/>
    <w:rsid w:val="00C1345C"/>
    <w:rsid w:val="00C138D0"/>
    <w:rsid w:val="00C13C4B"/>
    <w:rsid w:val="00C144BD"/>
    <w:rsid w:val="00C14AF3"/>
    <w:rsid w:val="00C15210"/>
    <w:rsid w:val="00C155B5"/>
    <w:rsid w:val="00C16B4B"/>
    <w:rsid w:val="00C16F29"/>
    <w:rsid w:val="00C17404"/>
    <w:rsid w:val="00C175A7"/>
    <w:rsid w:val="00C201B3"/>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6BF"/>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2D5E"/>
    <w:rsid w:val="00C43A51"/>
    <w:rsid w:val="00C44FD3"/>
    <w:rsid w:val="00C45C7F"/>
    <w:rsid w:val="00C46327"/>
    <w:rsid w:val="00C463D0"/>
    <w:rsid w:val="00C465C4"/>
    <w:rsid w:val="00C46721"/>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742"/>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DF1"/>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17C"/>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506"/>
    <w:rsid w:val="00CB45A7"/>
    <w:rsid w:val="00CB4766"/>
    <w:rsid w:val="00CB53A2"/>
    <w:rsid w:val="00CB5410"/>
    <w:rsid w:val="00CB5D14"/>
    <w:rsid w:val="00CB64DC"/>
    <w:rsid w:val="00CB6952"/>
    <w:rsid w:val="00CB7FE9"/>
    <w:rsid w:val="00CC0417"/>
    <w:rsid w:val="00CC23F7"/>
    <w:rsid w:val="00CC2F28"/>
    <w:rsid w:val="00CC347D"/>
    <w:rsid w:val="00CC3615"/>
    <w:rsid w:val="00CC3B82"/>
    <w:rsid w:val="00CC6521"/>
    <w:rsid w:val="00CC71EE"/>
    <w:rsid w:val="00CC757E"/>
    <w:rsid w:val="00CD06F9"/>
    <w:rsid w:val="00CD077C"/>
    <w:rsid w:val="00CD19B9"/>
    <w:rsid w:val="00CD2ACB"/>
    <w:rsid w:val="00CD3600"/>
    <w:rsid w:val="00CD3BD3"/>
    <w:rsid w:val="00CD3D26"/>
    <w:rsid w:val="00CD4174"/>
    <w:rsid w:val="00CD4461"/>
    <w:rsid w:val="00CD4688"/>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028"/>
    <w:rsid w:val="00CE4956"/>
    <w:rsid w:val="00CE526B"/>
    <w:rsid w:val="00CE53F4"/>
    <w:rsid w:val="00CE57FC"/>
    <w:rsid w:val="00CE5A8B"/>
    <w:rsid w:val="00CE5CF9"/>
    <w:rsid w:val="00CE5FD7"/>
    <w:rsid w:val="00CE6044"/>
    <w:rsid w:val="00CE63D5"/>
    <w:rsid w:val="00CE7246"/>
    <w:rsid w:val="00CE7A3D"/>
    <w:rsid w:val="00CE7C49"/>
    <w:rsid w:val="00CE7FFC"/>
    <w:rsid w:val="00CF019C"/>
    <w:rsid w:val="00CF1559"/>
    <w:rsid w:val="00CF1E29"/>
    <w:rsid w:val="00CF1E4C"/>
    <w:rsid w:val="00CF250E"/>
    <w:rsid w:val="00CF3B52"/>
    <w:rsid w:val="00CF3C81"/>
    <w:rsid w:val="00CF3E18"/>
    <w:rsid w:val="00CF415F"/>
    <w:rsid w:val="00CF4A6A"/>
    <w:rsid w:val="00CF57A4"/>
    <w:rsid w:val="00CF5DAA"/>
    <w:rsid w:val="00CF63CE"/>
    <w:rsid w:val="00CF705D"/>
    <w:rsid w:val="00CF7449"/>
    <w:rsid w:val="00D004EE"/>
    <w:rsid w:val="00D01837"/>
    <w:rsid w:val="00D01DF3"/>
    <w:rsid w:val="00D03750"/>
    <w:rsid w:val="00D03782"/>
    <w:rsid w:val="00D03A66"/>
    <w:rsid w:val="00D03D8D"/>
    <w:rsid w:val="00D04192"/>
    <w:rsid w:val="00D0461B"/>
    <w:rsid w:val="00D0619F"/>
    <w:rsid w:val="00D062F9"/>
    <w:rsid w:val="00D0770E"/>
    <w:rsid w:val="00D07C5E"/>
    <w:rsid w:val="00D12679"/>
    <w:rsid w:val="00D12A21"/>
    <w:rsid w:val="00D1354C"/>
    <w:rsid w:val="00D13B18"/>
    <w:rsid w:val="00D145CD"/>
    <w:rsid w:val="00D145F6"/>
    <w:rsid w:val="00D1479C"/>
    <w:rsid w:val="00D147FA"/>
    <w:rsid w:val="00D14A56"/>
    <w:rsid w:val="00D14C16"/>
    <w:rsid w:val="00D14D58"/>
    <w:rsid w:val="00D150CE"/>
    <w:rsid w:val="00D15AE6"/>
    <w:rsid w:val="00D1607E"/>
    <w:rsid w:val="00D1624C"/>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138"/>
    <w:rsid w:val="00D27635"/>
    <w:rsid w:val="00D279FE"/>
    <w:rsid w:val="00D27A47"/>
    <w:rsid w:val="00D30EBA"/>
    <w:rsid w:val="00D319D7"/>
    <w:rsid w:val="00D31E4B"/>
    <w:rsid w:val="00D31F69"/>
    <w:rsid w:val="00D32168"/>
    <w:rsid w:val="00D3232B"/>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888"/>
    <w:rsid w:val="00D42D9A"/>
    <w:rsid w:val="00D43636"/>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6AB5"/>
    <w:rsid w:val="00D77760"/>
    <w:rsid w:val="00D77AE9"/>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1FB4"/>
    <w:rsid w:val="00D928B5"/>
    <w:rsid w:val="00D9304A"/>
    <w:rsid w:val="00D9325F"/>
    <w:rsid w:val="00D9327C"/>
    <w:rsid w:val="00D9389A"/>
    <w:rsid w:val="00D93BB6"/>
    <w:rsid w:val="00D93C41"/>
    <w:rsid w:val="00D94EB8"/>
    <w:rsid w:val="00D957B5"/>
    <w:rsid w:val="00D95E58"/>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7E"/>
    <w:rsid w:val="00DB62A7"/>
    <w:rsid w:val="00DB674D"/>
    <w:rsid w:val="00DB7A6D"/>
    <w:rsid w:val="00DB7A88"/>
    <w:rsid w:val="00DC01E5"/>
    <w:rsid w:val="00DC064A"/>
    <w:rsid w:val="00DC0FA2"/>
    <w:rsid w:val="00DC1AF1"/>
    <w:rsid w:val="00DC1E36"/>
    <w:rsid w:val="00DC292E"/>
    <w:rsid w:val="00DC3064"/>
    <w:rsid w:val="00DC3399"/>
    <w:rsid w:val="00DC3BB0"/>
    <w:rsid w:val="00DC3F37"/>
    <w:rsid w:val="00DC40C7"/>
    <w:rsid w:val="00DC5195"/>
    <w:rsid w:val="00DC5971"/>
    <w:rsid w:val="00DC718F"/>
    <w:rsid w:val="00DD1C7C"/>
    <w:rsid w:val="00DD281F"/>
    <w:rsid w:val="00DD2832"/>
    <w:rsid w:val="00DD302F"/>
    <w:rsid w:val="00DD32C5"/>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3FE2"/>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618"/>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AAC"/>
    <w:rsid w:val="00E11FC3"/>
    <w:rsid w:val="00E12C2B"/>
    <w:rsid w:val="00E1300E"/>
    <w:rsid w:val="00E132DA"/>
    <w:rsid w:val="00E1424D"/>
    <w:rsid w:val="00E14276"/>
    <w:rsid w:val="00E14ECA"/>
    <w:rsid w:val="00E15045"/>
    <w:rsid w:val="00E150D3"/>
    <w:rsid w:val="00E1558A"/>
    <w:rsid w:val="00E16020"/>
    <w:rsid w:val="00E174B0"/>
    <w:rsid w:val="00E20208"/>
    <w:rsid w:val="00E202D7"/>
    <w:rsid w:val="00E20458"/>
    <w:rsid w:val="00E206B0"/>
    <w:rsid w:val="00E2140F"/>
    <w:rsid w:val="00E2163F"/>
    <w:rsid w:val="00E22772"/>
    <w:rsid w:val="00E234CA"/>
    <w:rsid w:val="00E24AC1"/>
    <w:rsid w:val="00E25645"/>
    <w:rsid w:val="00E25BD5"/>
    <w:rsid w:val="00E26020"/>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3E7"/>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68D"/>
    <w:rsid w:val="00E56DF6"/>
    <w:rsid w:val="00E57575"/>
    <w:rsid w:val="00E579FF"/>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D4C"/>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2808"/>
    <w:rsid w:val="00E83542"/>
    <w:rsid w:val="00E83A20"/>
    <w:rsid w:val="00E84723"/>
    <w:rsid w:val="00E8527A"/>
    <w:rsid w:val="00E85A9B"/>
    <w:rsid w:val="00E86EAD"/>
    <w:rsid w:val="00E8700F"/>
    <w:rsid w:val="00E87338"/>
    <w:rsid w:val="00E90C81"/>
    <w:rsid w:val="00E90D2C"/>
    <w:rsid w:val="00E918C5"/>
    <w:rsid w:val="00E931A9"/>
    <w:rsid w:val="00E941C4"/>
    <w:rsid w:val="00E94442"/>
    <w:rsid w:val="00E9466A"/>
    <w:rsid w:val="00E94D67"/>
    <w:rsid w:val="00E962E0"/>
    <w:rsid w:val="00E963BB"/>
    <w:rsid w:val="00E96863"/>
    <w:rsid w:val="00E976CD"/>
    <w:rsid w:val="00EA0127"/>
    <w:rsid w:val="00EA0157"/>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1FF5"/>
    <w:rsid w:val="00EC2632"/>
    <w:rsid w:val="00EC2E88"/>
    <w:rsid w:val="00EC4005"/>
    <w:rsid w:val="00EC422A"/>
    <w:rsid w:val="00EC427C"/>
    <w:rsid w:val="00EC4680"/>
    <w:rsid w:val="00EC491D"/>
    <w:rsid w:val="00EC4948"/>
    <w:rsid w:val="00EC4A2F"/>
    <w:rsid w:val="00EC4BDD"/>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572"/>
    <w:rsid w:val="00ED7338"/>
    <w:rsid w:val="00ED7559"/>
    <w:rsid w:val="00EE0C47"/>
    <w:rsid w:val="00EE0E08"/>
    <w:rsid w:val="00EE167F"/>
    <w:rsid w:val="00EE1BDB"/>
    <w:rsid w:val="00EE1C82"/>
    <w:rsid w:val="00EE2341"/>
    <w:rsid w:val="00EE37ED"/>
    <w:rsid w:val="00EE3C23"/>
    <w:rsid w:val="00EE3E29"/>
    <w:rsid w:val="00EE3FDF"/>
    <w:rsid w:val="00EE4E6A"/>
    <w:rsid w:val="00EE544E"/>
    <w:rsid w:val="00EE6057"/>
    <w:rsid w:val="00EE6D56"/>
    <w:rsid w:val="00EE6EB7"/>
    <w:rsid w:val="00EE7722"/>
    <w:rsid w:val="00EE7744"/>
    <w:rsid w:val="00EF0098"/>
    <w:rsid w:val="00EF0AA1"/>
    <w:rsid w:val="00EF0FBB"/>
    <w:rsid w:val="00EF1BDB"/>
    <w:rsid w:val="00EF3BB2"/>
    <w:rsid w:val="00EF400D"/>
    <w:rsid w:val="00EF4764"/>
    <w:rsid w:val="00EF48F8"/>
    <w:rsid w:val="00EF49E9"/>
    <w:rsid w:val="00EF5D57"/>
    <w:rsid w:val="00EF6597"/>
    <w:rsid w:val="00EF6CBA"/>
    <w:rsid w:val="00EF6CEC"/>
    <w:rsid w:val="00EF6D18"/>
    <w:rsid w:val="00EF6E09"/>
    <w:rsid w:val="00EF6F80"/>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0F8C"/>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C90"/>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1948"/>
    <w:rsid w:val="00F32636"/>
    <w:rsid w:val="00F32659"/>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370"/>
    <w:rsid w:val="00F53942"/>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2390"/>
    <w:rsid w:val="00F63275"/>
    <w:rsid w:val="00F63483"/>
    <w:rsid w:val="00F642E8"/>
    <w:rsid w:val="00F662FE"/>
    <w:rsid w:val="00F665F6"/>
    <w:rsid w:val="00F66E03"/>
    <w:rsid w:val="00F6755A"/>
    <w:rsid w:val="00F67B6B"/>
    <w:rsid w:val="00F70DAC"/>
    <w:rsid w:val="00F70E80"/>
    <w:rsid w:val="00F716E4"/>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6BA"/>
    <w:rsid w:val="00FC6800"/>
    <w:rsid w:val="00FC6BFC"/>
    <w:rsid w:val="00FD0453"/>
    <w:rsid w:val="00FD0ABD"/>
    <w:rsid w:val="00FD1146"/>
    <w:rsid w:val="00FD189F"/>
    <w:rsid w:val="00FD1E3B"/>
    <w:rsid w:val="00FD39E4"/>
    <w:rsid w:val="00FD3FC1"/>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339E"/>
  <w15:docId w15:val="{D01F4D7F-D785-458B-8EC8-582089FA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uiPriority w:val="99"/>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semiHidden/>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af7">
    <w:name w:val="List Paragraph"/>
    <w:basedOn w:val="a"/>
    <w:uiPriority w:val="34"/>
    <w:qFormat/>
    <w:rsid w:val="007471D2"/>
    <w:pPr>
      <w:ind w:left="720"/>
      <w:contextualSpacing/>
    </w:pPr>
  </w:style>
  <w:style w:type="paragraph" w:styleId="af8">
    <w:name w:val="Normal (Web)"/>
    <w:basedOn w:val="a"/>
    <w:uiPriority w:val="99"/>
    <w:unhideWhenUsed/>
    <w:rsid w:val="00B4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4E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27">
      <w:bodyDiv w:val="1"/>
      <w:marLeft w:val="0"/>
      <w:marRight w:val="0"/>
      <w:marTop w:val="0"/>
      <w:marBottom w:val="0"/>
      <w:divBdr>
        <w:top w:val="none" w:sz="0" w:space="0" w:color="auto"/>
        <w:left w:val="none" w:sz="0" w:space="0" w:color="auto"/>
        <w:bottom w:val="none" w:sz="0" w:space="0" w:color="auto"/>
        <w:right w:val="none" w:sz="0" w:space="0" w:color="auto"/>
      </w:divBdr>
    </w:div>
    <w:div w:id="26419010">
      <w:bodyDiv w:val="1"/>
      <w:marLeft w:val="0"/>
      <w:marRight w:val="0"/>
      <w:marTop w:val="0"/>
      <w:marBottom w:val="0"/>
      <w:divBdr>
        <w:top w:val="none" w:sz="0" w:space="0" w:color="auto"/>
        <w:left w:val="none" w:sz="0" w:space="0" w:color="auto"/>
        <w:bottom w:val="none" w:sz="0" w:space="0" w:color="auto"/>
        <w:right w:val="none" w:sz="0" w:space="0" w:color="auto"/>
      </w:divBdr>
    </w:div>
    <w:div w:id="72774954">
      <w:bodyDiv w:val="1"/>
      <w:marLeft w:val="0"/>
      <w:marRight w:val="0"/>
      <w:marTop w:val="0"/>
      <w:marBottom w:val="0"/>
      <w:divBdr>
        <w:top w:val="none" w:sz="0" w:space="0" w:color="auto"/>
        <w:left w:val="none" w:sz="0" w:space="0" w:color="auto"/>
        <w:bottom w:val="none" w:sz="0" w:space="0" w:color="auto"/>
        <w:right w:val="none" w:sz="0" w:space="0" w:color="auto"/>
      </w:divBdr>
      <w:divsChild>
        <w:div w:id="1009059897">
          <w:marLeft w:val="0"/>
          <w:marRight w:val="0"/>
          <w:marTop w:val="0"/>
          <w:marBottom w:val="0"/>
          <w:divBdr>
            <w:top w:val="none" w:sz="0" w:space="0" w:color="auto"/>
            <w:left w:val="none" w:sz="0" w:space="0" w:color="auto"/>
            <w:bottom w:val="none" w:sz="0" w:space="0" w:color="auto"/>
            <w:right w:val="none" w:sz="0" w:space="0" w:color="auto"/>
          </w:divBdr>
          <w:divsChild>
            <w:div w:id="975839009">
              <w:marLeft w:val="0"/>
              <w:marRight w:val="0"/>
              <w:marTop w:val="0"/>
              <w:marBottom w:val="0"/>
              <w:divBdr>
                <w:top w:val="none" w:sz="0" w:space="0" w:color="auto"/>
                <w:left w:val="none" w:sz="0" w:space="0" w:color="auto"/>
                <w:bottom w:val="none" w:sz="0" w:space="0" w:color="auto"/>
                <w:right w:val="none" w:sz="0" w:space="0" w:color="auto"/>
              </w:divBdr>
              <w:divsChild>
                <w:div w:id="1146507444">
                  <w:marLeft w:val="0"/>
                  <w:marRight w:val="0"/>
                  <w:marTop w:val="0"/>
                  <w:marBottom w:val="0"/>
                  <w:divBdr>
                    <w:top w:val="none" w:sz="0" w:space="0" w:color="auto"/>
                    <w:left w:val="none" w:sz="0" w:space="0" w:color="auto"/>
                    <w:bottom w:val="none" w:sz="0" w:space="0" w:color="auto"/>
                    <w:right w:val="none" w:sz="0" w:space="0" w:color="auto"/>
                  </w:divBdr>
                  <w:divsChild>
                    <w:div w:id="11798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6596">
      <w:bodyDiv w:val="1"/>
      <w:marLeft w:val="0"/>
      <w:marRight w:val="0"/>
      <w:marTop w:val="0"/>
      <w:marBottom w:val="0"/>
      <w:divBdr>
        <w:top w:val="none" w:sz="0" w:space="0" w:color="auto"/>
        <w:left w:val="none" w:sz="0" w:space="0" w:color="auto"/>
        <w:bottom w:val="none" w:sz="0" w:space="0" w:color="auto"/>
        <w:right w:val="none" w:sz="0" w:space="0" w:color="auto"/>
      </w:divBdr>
    </w:div>
    <w:div w:id="538469206">
      <w:bodyDiv w:val="1"/>
      <w:marLeft w:val="0"/>
      <w:marRight w:val="0"/>
      <w:marTop w:val="0"/>
      <w:marBottom w:val="0"/>
      <w:divBdr>
        <w:top w:val="none" w:sz="0" w:space="0" w:color="auto"/>
        <w:left w:val="none" w:sz="0" w:space="0" w:color="auto"/>
        <w:bottom w:val="none" w:sz="0" w:space="0" w:color="auto"/>
        <w:right w:val="none" w:sz="0" w:space="0" w:color="auto"/>
      </w:divBdr>
    </w:div>
    <w:div w:id="600573100">
      <w:bodyDiv w:val="1"/>
      <w:marLeft w:val="0"/>
      <w:marRight w:val="0"/>
      <w:marTop w:val="0"/>
      <w:marBottom w:val="0"/>
      <w:divBdr>
        <w:top w:val="none" w:sz="0" w:space="0" w:color="auto"/>
        <w:left w:val="none" w:sz="0" w:space="0" w:color="auto"/>
        <w:bottom w:val="none" w:sz="0" w:space="0" w:color="auto"/>
        <w:right w:val="none" w:sz="0" w:space="0" w:color="auto"/>
      </w:divBdr>
      <w:divsChild>
        <w:div w:id="649212162">
          <w:marLeft w:val="0"/>
          <w:marRight w:val="0"/>
          <w:marTop w:val="0"/>
          <w:marBottom w:val="0"/>
          <w:divBdr>
            <w:top w:val="none" w:sz="0" w:space="0" w:color="auto"/>
            <w:left w:val="none" w:sz="0" w:space="0" w:color="auto"/>
            <w:bottom w:val="none" w:sz="0" w:space="0" w:color="auto"/>
            <w:right w:val="none" w:sz="0" w:space="0" w:color="auto"/>
          </w:divBdr>
          <w:divsChild>
            <w:div w:id="705257877">
              <w:marLeft w:val="0"/>
              <w:marRight w:val="0"/>
              <w:marTop w:val="0"/>
              <w:marBottom w:val="0"/>
              <w:divBdr>
                <w:top w:val="none" w:sz="0" w:space="0" w:color="auto"/>
                <w:left w:val="none" w:sz="0" w:space="0" w:color="auto"/>
                <w:bottom w:val="none" w:sz="0" w:space="0" w:color="auto"/>
                <w:right w:val="none" w:sz="0" w:space="0" w:color="auto"/>
              </w:divBdr>
              <w:divsChild>
                <w:div w:id="1099570366">
                  <w:marLeft w:val="0"/>
                  <w:marRight w:val="0"/>
                  <w:marTop w:val="0"/>
                  <w:marBottom w:val="0"/>
                  <w:divBdr>
                    <w:top w:val="none" w:sz="0" w:space="0" w:color="auto"/>
                    <w:left w:val="none" w:sz="0" w:space="0" w:color="auto"/>
                    <w:bottom w:val="none" w:sz="0" w:space="0" w:color="auto"/>
                    <w:right w:val="none" w:sz="0" w:space="0" w:color="auto"/>
                  </w:divBdr>
                  <w:divsChild>
                    <w:div w:id="400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79189">
      <w:bodyDiv w:val="1"/>
      <w:marLeft w:val="0"/>
      <w:marRight w:val="0"/>
      <w:marTop w:val="0"/>
      <w:marBottom w:val="0"/>
      <w:divBdr>
        <w:top w:val="none" w:sz="0" w:space="0" w:color="auto"/>
        <w:left w:val="none" w:sz="0" w:space="0" w:color="auto"/>
        <w:bottom w:val="none" w:sz="0" w:space="0" w:color="auto"/>
        <w:right w:val="none" w:sz="0" w:space="0" w:color="auto"/>
      </w:divBdr>
    </w:div>
    <w:div w:id="662006984">
      <w:bodyDiv w:val="1"/>
      <w:marLeft w:val="0"/>
      <w:marRight w:val="0"/>
      <w:marTop w:val="0"/>
      <w:marBottom w:val="0"/>
      <w:divBdr>
        <w:top w:val="none" w:sz="0" w:space="0" w:color="auto"/>
        <w:left w:val="none" w:sz="0" w:space="0" w:color="auto"/>
        <w:bottom w:val="none" w:sz="0" w:space="0" w:color="auto"/>
        <w:right w:val="none" w:sz="0" w:space="0" w:color="auto"/>
      </w:divBdr>
    </w:div>
    <w:div w:id="734938222">
      <w:bodyDiv w:val="1"/>
      <w:marLeft w:val="0"/>
      <w:marRight w:val="0"/>
      <w:marTop w:val="0"/>
      <w:marBottom w:val="0"/>
      <w:divBdr>
        <w:top w:val="none" w:sz="0" w:space="0" w:color="auto"/>
        <w:left w:val="none" w:sz="0" w:space="0" w:color="auto"/>
        <w:bottom w:val="none" w:sz="0" w:space="0" w:color="auto"/>
        <w:right w:val="none" w:sz="0" w:space="0" w:color="auto"/>
      </w:divBdr>
    </w:div>
    <w:div w:id="876045637">
      <w:bodyDiv w:val="1"/>
      <w:marLeft w:val="0"/>
      <w:marRight w:val="0"/>
      <w:marTop w:val="0"/>
      <w:marBottom w:val="0"/>
      <w:divBdr>
        <w:top w:val="none" w:sz="0" w:space="0" w:color="auto"/>
        <w:left w:val="none" w:sz="0" w:space="0" w:color="auto"/>
        <w:bottom w:val="none" w:sz="0" w:space="0" w:color="auto"/>
        <w:right w:val="none" w:sz="0" w:space="0" w:color="auto"/>
      </w:divBdr>
    </w:div>
    <w:div w:id="881550362">
      <w:bodyDiv w:val="1"/>
      <w:marLeft w:val="0"/>
      <w:marRight w:val="0"/>
      <w:marTop w:val="0"/>
      <w:marBottom w:val="0"/>
      <w:divBdr>
        <w:top w:val="none" w:sz="0" w:space="0" w:color="auto"/>
        <w:left w:val="none" w:sz="0" w:space="0" w:color="auto"/>
        <w:bottom w:val="none" w:sz="0" w:space="0" w:color="auto"/>
        <w:right w:val="none" w:sz="0" w:space="0" w:color="auto"/>
      </w:divBdr>
    </w:div>
    <w:div w:id="990912713">
      <w:bodyDiv w:val="1"/>
      <w:marLeft w:val="0"/>
      <w:marRight w:val="0"/>
      <w:marTop w:val="0"/>
      <w:marBottom w:val="0"/>
      <w:divBdr>
        <w:top w:val="none" w:sz="0" w:space="0" w:color="auto"/>
        <w:left w:val="none" w:sz="0" w:space="0" w:color="auto"/>
        <w:bottom w:val="none" w:sz="0" w:space="0" w:color="auto"/>
        <w:right w:val="none" w:sz="0" w:space="0" w:color="auto"/>
      </w:divBdr>
    </w:div>
    <w:div w:id="1388184296">
      <w:bodyDiv w:val="1"/>
      <w:marLeft w:val="0"/>
      <w:marRight w:val="0"/>
      <w:marTop w:val="0"/>
      <w:marBottom w:val="0"/>
      <w:divBdr>
        <w:top w:val="none" w:sz="0" w:space="0" w:color="auto"/>
        <w:left w:val="none" w:sz="0" w:space="0" w:color="auto"/>
        <w:bottom w:val="none" w:sz="0" w:space="0" w:color="auto"/>
        <w:right w:val="none" w:sz="0" w:space="0" w:color="auto"/>
      </w:divBdr>
    </w:div>
    <w:div w:id="1393428829">
      <w:bodyDiv w:val="1"/>
      <w:marLeft w:val="0"/>
      <w:marRight w:val="0"/>
      <w:marTop w:val="0"/>
      <w:marBottom w:val="0"/>
      <w:divBdr>
        <w:top w:val="none" w:sz="0" w:space="0" w:color="auto"/>
        <w:left w:val="none" w:sz="0" w:space="0" w:color="auto"/>
        <w:bottom w:val="none" w:sz="0" w:space="0" w:color="auto"/>
        <w:right w:val="none" w:sz="0" w:space="0" w:color="auto"/>
      </w:divBdr>
      <w:divsChild>
        <w:div w:id="1105660147">
          <w:marLeft w:val="0"/>
          <w:marRight w:val="0"/>
          <w:marTop w:val="0"/>
          <w:marBottom w:val="0"/>
          <w:divBdr>
            <w:top w:val="none" w:sz="0" w:space="0" w:color="auto"/>
            <w:left w:val="none" w:sz="0" w:space="0" w:color="auto"/>
            <w:bottom w:val="none" w:sz="0" w:space="0" w:color="auto"/>
            <w:right w:val="none" w:sz="0" w:space="0" w:color="auto"/>
          </w:divBdr>
        </w:div>
      </w:divsChild>
    </w:div>
    <w:div w:id="1434787704">
      <w:bodyDiv w:val="1"/>
      <w:marLeft w:val="0"/>
      <w:marRight w:val="0"/>
      <w:marTop w:val="0"/>
      <w:marBottom w:val="0"/>
      <w:divBdr>
        <w:top w:val="none" w:sz="0" w:space="0" w:color="auto"/>
        <w:left w:val="none" w:sz="0" w:space="0" w:color="auto"/>
        <w:bottom w:val="none" w:sz="0" w:space="0" w:color="auto"/>
        <w:right w:val="none" w:sz="0" w:space="0" w:color="auto"/>
      </w:divBdr>
    </w:div>
    <w:div w:id="1481117593">
      <w:bodyDiv w:val="1"/>
      <w:marLeft w:val="0"/>
      <w:marRight w:val="0"/>
      <w:marTop w:val="0"/>
      <w:marBottom w:val="0"/>
      <w:divBdr>
        <w:top w:val="none" w:sz="0" w:space="0" w:color="auto"/>
        <w:left w:val="none" w:sz="0" w:space="0" w:color="auto"/>
        <w:bottom w:val="none" w:sz="0" w:space="0" w:color="auto"/>
        <w:right w:val="none" w:sz="0" w:space="0" w:color="auto"/>
      </w:divBdr>
    </w:div>
    <w:div w:id="1676491851">
      <w:bodyDiv w:val="1"/>
      <w:marLeft w:val="0"/>
      <w:marRight w:val="0"/>
      <w:marTop w:val="0"/>
      <w:marBottom w:val="0"/>
      <w:divBdr>
        <w:top w:val="none" w:sz="0" w:space="0" w:color="auto"/>
        <w:left w:val="none" w:sz="0" w:space="0" w:color="auto"/>
        <w:bottom w:val="none" w:sz="0" w:space="0" w:color="auto"/>
        <w:right w:val="none" w:sz="0" w:space="0" w:color="auto"/>
      </w:divBdr>
    </w:div>
    <w:div w:id="1706707573">
      <w:bodyDiv w:val="1"/>
      <w:marLeft w:val="0"/>
      <w:marRight w:val="0"/>
      <w:marTop w:val="0"/>
      <w:marBottom w:val="0"/>
      <w:divBdr>
        <w:top w:val="none" w:sz="0" w:space="0" w:color="auto"/>
        <w:left w:val="none" w:sz="0" w:space="0" w:color="auto"/>
        <w:bottom w:val="none" w:sz="0" w:space="0" w:color="auto"/>
        <w:right w:val="none" w:sz="0" w:space="0" w:color="auto"/>
      </w:divBdr>
    </w:div>
    <w:div w:id="1864854825">
      <w:bodyDiv w:val="1"/>
      <w:marLeft w:val="0"/>
      <w:marRight w:val="0"/>
      <w:marTop w:val="0"/>
      <w:marBottom w:val="0"/>
      <w:divBdr>
        <w:top w:val="none" w:sz="0" w:space="0" w:color="auto"/>
        <w:left w:val="none" w:sz="0" w:space="0" w:color="auto"/>
        <w:bottom w:val="none" w:sz="0" w:space="0" w:color="auto"/>
        <w:right w:val="none" w:sz="0" w:space="0" w:color="auto"/>
      </w:divBdr>
      <w:divsChild>
        <w:div w:id="323439117">
          <w:marLeft w:val="0"/>
          <w:marRight w:val="0"/>
          <w:marTop w:val="0"/>
          <w:marBottom w:val="0"/>
          <w:divBdr>
            <w:top w:val="none" w:sz="0" w:space="0" w:color="auto"/>
            <w:left w:val="none" w:sz="0" w:space="0" w:color="auto"/>
            <w:bottom w:val="none" w:sz="0" w:space="0" w:color="auto"/>
            <w:right w:val="none" w:sz="0" w:space="0" w:color="auto"/>
          </w:divBdr>
          <w:divsChild>
            <w:div w:id="664359832">
              <w:marLeft w:val="0"/>
              <w:marRight w:val="0"/>
              <w:marTop w:val="0"/>
              <w:marBottom w:val="0"/>
              <w:divBdr>
                <w:top w:val="none" w:sz="0" w:space="0" w:color="auto"/>
                <w:left w:val="none" w:sz="0" w:space="0" w:color="auto"/>
                <w:bottom w:val="none" w:sz="0" w:space="0" w:color="auto"/>
                <w:right w:val="none" w:sz="0" w:space="0" w:color="auto"/>
              </w:divBdr>
              <w:divsChild>
                <w:div w:id="1904026707">
                  <w:marLeft w:val="0"/>
                  <w:marRight w:val="0"/>
                  <w:marTop w:val="0"/>
                  <w:marBottom w:val="0"/>
                  <w:divBdr>
                    <w:top w:val="none" w:sz="0" w:space="0" w:color="auto"/>
                    <w:left w:val="none" w:sz="0" w:space="0" w:color="auto"/>
                    <w:bottom w:val="none" w:sz="0" w:space="0" w:color="auto"/>
                    <w:right w:val="none" w:sz="0" w:space="0" w:color="auto"/>
                  </w:divBdr>
                  <w:divsChild>
                    <w:div w:id="5654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3009">
      <w:bodyDiv w:val="1"/>
      <w:marLeft w:val="0"/>
      <w:marRight w:val="0"/>
      <w:marTop w:val="0"/>
      <w:marBottom w:val="0"/>
      <w:divBdr>
        <w:top w:val="none" w:sz="0" w:space="0" w:color="auto"/>
        <w:left w:val="none" w:sz="0" w:space="0" w:color="auto"/>
        <w:bottom w:val="none" w:sz="0" w:space="0" w:color="auto"/>
        <w:right w:val="none" w:sz="0" w:space="0" w:color="auto"/>
      </w:divBdr>
      <w:divsChild>
        <w:div w:id="1494762941">
          <w:marLeft w:val="0"/>
          <w:marRight w:val="0"/>
          <w:marTop w:val="0"/>
          <w:marBottom w:val="0"/>
          <w:divBdr>
            <w:top w:val="none" w:sz="0" w:space="0" w:color="auto"/>
            <w:left w:val="none" w:sz="0" w:space="0" w:color="auto"/>
            <w:bottom w:val="none" w:sz="0" w:space="0" w:color="auto"/>
            <w:right w:val="none" w:sz="0" w:space="0" w:color="auto"/>
          </w:divBdr>
          <w:divsChild>
            <w:div w:id="19623002">
              <w:marLeft w:val="0"/>
              <w:marRight w:val="0"/>
              <w:marTop w:val="0"/>
              <w:marBottom w:val="0"/>
              <w:divBdr>
                <w:top w:val="none" w:sz="0" w:space="0" w:color="auto"/>
                <w:left w:val="none" w:sz="0" w:space="0" w:color="auto"/>
                <w:bottom w:val="none" w:sz="0" w:space="0" w:color="auto"/>
                <w:right w:val="none" w:sz="0" w:space="0" w:color="auto"/>
              </w:divBdr>
              <w:divsChild>
                <w:div w:id="1032992798">
                  <w:marLeft w:val="0"/>
                  <w:marRight w:val="0"/>
                  <w:marTop w:val="0"/>
                  <w:marBottom w:val="0"/>
                  <w:divBdr>
                    <w:top w:val="none" w:sz="0" w:space="0" w:color="auto"/>
                    <w:left w:val="none" w:sz="0" w:space="0" w:color="auto"/>
                    <w:bottom w:val="none" w:sz="0" w:space="0" w:color="auto"/>
                    <w:right w:val="none" w:sz="0" w:space="0" w:color="auto"/>
                  </w:divBdr>
                  <w:divsChild>
                    <w:div w:id="1068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27</Pages>
  <Words>10927</Words>
  <Characters>62287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Praveen Kanumuru</cp:lastModifiedBy>
  <cp:revision>133</cp:revision>
  <dcterms:created xsi:type="dcterms:W3CDTF">2020-03-08T03:48:00Z</dcterms:created>
  <dcterms:modified xsi:type="dcterms:W3CDTF">2025-06-17T08:00:00Z</dcterms:modified>
</cp:coreProperties>
</file>